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B0" w:rsidRPr="00684ECE" w:rsidRDefault="00BC3AB0" w:rsidP="00BC3AB0">
      <w:pPr>
        <w:pStyle w:val="Title"/>
        <w:jc w:val="center"/>
        <w:rPr>
          <w:sz w:val="180"/>
        </w:rPr>
      </w:pPr>
    </w:p>
    <w:p w:rsidR="00BC3AB0" w:rsidRPr="00684ECE" w:rsidRDefault="00BC3AB0" w:rsidP="00BC3AB0">
      <w:pPr>
        <w:pStyle w:val="Title"/>
        <w:jc w:val="center"/>
        <w:rPr>
          <w:sz w:val="220"/>
        </w:rPr>
      </w:pPr>
      <w:r w:rsidRPr="00684ECE">
        <w:rPr>
          <w:sz w:val="220"/>
        </w:rPr>
        <w:t>ALLQUATICS</w:t>
      </w:r>
    </w:p>
    <w:p w:rsidR="00BC3AB0" w:rsidRDefault="00BC3AB0" w:rsidP="00BC3AB0">
      <w:pPr>
        <w:pStyle w:val="Title"/>
        <w:rPr>
          <w:sz w:val="160"/>
        </w:rPr>
      </w:pPr>
    </w:p>
    <w:p w:rsidR="00BC3AB0" w:rsidRDefault="00BC3AB0" w:rsidP="00BC3AB0">
      <w:pPr>
        <w:pStyle w:val="Title"/>
      </w:pPr>
      <w:r w:rsidRPr="00AE2A33">
        <w:rPr>
          <w:color w:val="FF0A6E" w:themeColor="background2"/>
          <w:sz w:val="144"/>
        </w:rPr>
        <w:t>Diversity, e</w:t>
      </w:r>
      <w:r>
        <w:rPr>
          <w:color w:val="FF0A6E" w:themeColor="background2"/>
          <w:sz w:val="144"/>
        </w:rPr>
        <w:t>quity and inclusion action plan (deiap) 2024-28</w:t>
      </w:r>
    </w:p>
    <w:p w:rsidR="00BC3AB0" w:rsidRDefault="00BC3AB0" w:rsidP="00BC3AB0">
      <w:pPr>
        <w:pStyle w:val="Title"/>
        <w:rPr>
          <w:color w:val="FF0A6E" w:themeColor="background2"/>
          <w:sz w:val="144"/>
        </w:rPr>
        <w:sectPr w:rsidR="00BC3AB0" w:rsidSect="00BC3AB0">
          <w:headerReference w:type="default" r:id="rId8"/>
          <w:footerReference w:type="default" r:id="rId9"/>
          <w:pgSz w:w="11906" w:h="16838" w:code="9"/>
          <w:pgMar w:top="720" w:right="720" w:bottom="720" w:left="720" w:header="680" w:footer="340" w:gutter="0"/>
          <w:cols w:space="708"/>
          <w:docGrid w:linePitch="360"/>
        </w:sectPr>
      </w:pPr>
    </w:p>
    <w:p w:rsidR="00BC3AB0" w:rsidRPr="00AE2A33" w:rsidRDefault="00BC3AB0" w:rsidP="00BC3AB0">
      <w:pPr>
        <w:pStyle w:val="Introduction"/>
      </w:pPr>
      <w:r w:rsidRPr="00AE2A33">
        <w:lastRenderedPageBreak/>
        <w:t>Purpose</w:t>
      </w:r>
    </w:p>
    <w:p w:rsidR="00BC3AB0" w:rsidRDefault="00BC3AB0" w:rsidP="00BC3AB0">
      <w:pPr>
        <w:pStyle w:val="Introduction"/>
        <w:jc w:val="both"/>
        <w:rPr>
          <w:b w:val="0"/>
          <w:sz w:val="24"/>
          <w:szCs w:val="24"/>
        </w:rPr>
      </w:pPr>
      <w:r w:rsidRPr="00AE2A33">
        <w:rPr>
          <w:b w:val="0"/>
          <w:sz w:val="24"/>
          <w:szCs w:val="24"/>
        </w:rPr>
        <w:t xml:space="preserve">The Diversity, Equity and Inclusion Action Plan (DEIAP) outlines </w:t>
      </w:r>
      <w:r w:rsidR="00F671B7">
        <w:rPr>
          <w:b w:val="0"/>
          <w:sz w:val="24"/>
          <w:szCs w:val="24"/>
        </w:rPr>
        <w:t>Aquatics GB</w:t>
      </w:r>
      <w:r w:rsidRPr="00AE2A33">
        <w:rPr>
          <w:b w:val="0"/>
          <w:sz w:val="24"/>
          <w:szCs w:val="24"/>
        </w:rPr>
        <w:t>’s ambitions for progressing Diversity, Equity and Inclusion (DEI) across all levels of the organisation. This includes our athlete cohorts for our 6 disciplines, employees (including Senior Management Team) and Board. The 2024-2028 DEIAP will build upon the existing work conducted for the previous plan and forms part of the revised Code for Sports Governance, which requires organisations in receipt of UK Sport and/or Sport England funding to publish ‘clear ambitions to ensure that their leadership represents and reflects the diversity of the local and/or national community’.</w:t>
      </w:r>
    </w:p>
    <w:p w:rsidR="00BC3AB0" w:rsidRPr="00AE2A33" w:rsidRDefault="00BC3AB0" w:rsidP="00BC3AB0">
      <w:pPr>
        <w:pStyle w:val="Introduction"/>
        <w:jc w:val="both"/>
        <w:rPr>
          <w:b w:val="0"/>
          <w:sz w:val="24"/>
          <w:szCs w:val="24"/>
        </w:rPr>
      </w:pPr>
    </w:p>
    <w:p w:rsidR="00BC3AB0" w:rsidRPr="00AE2A33" w:rsidRDefault="00F671B7" w:rsidP="00BC3AB0">
      <w:pPr>
        <w:pStyle w:val="Introduction"/>
        <w:jc w:val="both"/>
        <w:rPr>
          <w:b w:val="0"/>
          <w:sz w:val="24"/>
          <w:szCs w:val="24"/>
        </w:rPr>
      </w:pPr>
      <w:r>
        <w:rPr>
          <w:b w:val="0"/>
          <w:sz w:val="24"/>
          <w:szCs w:val="24"/>
        </w:rPr>
        <w:t>Aquatics GB</w:t>
      </w:r>
      <w:r w:rsidR="00BC3AB0" w:rsidRPr="00AE2A33">
        <w:rPr>
          <w:b w:val="0"/>
          <w:sz w:val="24"/>
          <w:szCs w:val="24"/>
        </w:rPr>
        <w:t xml:space="preserve"> recognises the importance of diversity and inclusion, not least for the loss through the performance pathway that occurs as a result of reduced opportunities and barriers that prevent those wanting to access aquatics. For example, 76% of South Asian women in England cannot swim 25m (England Swims, 2022). Understanding our current landscape of the organisation is imperative to advancing our diversity and inclusion practice. </w:t>
      </w:r>
    </w:p>
    <w:p w:rsidR="00BC3AB0" w:rsidRDefault="00BC3AB0" w:rsidP="00BC3AB0">
      <w:pPr>
        <w:pStyle w:val="Introduction"/>
        <w:rPr>
          <w:b w:val="0"/>
          <w:sz w:val="24"/>
          <w:szCs w:val="24"/>
        </w:rPr>
      </w:pPr>
    </w:p>
    <w:p w:rsidR="00BC3AB0" w:rsidRPr="00AE2A33" w:rsidRDefault="00BC3AB0" w:rsidP="00BC3AB0">
      <w:pPr>
        <w:pStyle w:val="Introduction"/>
      </w:pPr>
      <w:r w:rsidRPr="00AE2A33">
        <w:t>DEI Report</w:t>
      </w:r>
    </w:p>
    <w:p w:rsidR="00BC3AB0" w:rsidRDefault="00BC3AB0" w:rsidP="00BC3AB0">
      <w:pPr>
        <w:pStyle w:val="Introduction"/>
        <w:jc w:val="both"/>
        <w:rPr>
          <w:b w:val="0"/>
          <w:sz w:val="24"/>
          <w:szCs w:val="24"/>
        </w:rPr>
      </w:pPr>
      <w:r w:rsidRPr="00AE2A33">
        <w:rPr>
          <w:b w:val="0"/>
          <w:sz w:val="24"/>
          <w:szCs w:val="24"/>
        </w:rPr>
        <w:t xml:space="preserve">In 2023, </w:t>
      </w:r>
      <w:r w:rsidR="00F671B7">
        <w:rPr>
          <w:b w:val="0"/>
          <w:sz w:val="24"/>
          <w:szCs w:val="24"/>
        </w:rPr>
        <w:t>Aquatics GB</w:t>
      </w:r>
      <w:r w:rsidRPr="00AE2A33">
        <w:rPr>
          <w:b w:val="0"/>
          <w:sz w:val="24"/>
          <w:szCs w:val="24"/>
        </w:rPr>
        <w:t xml:space="preserve"> published a DEI Report, outlining the success and development of DEI in the calendar year. This included details of our annual survey, which achieved our most ethnically diverse and representative survey yet. This data provides us with key information relating to our staff and athlete cohorts and requires us to be more targeted in our actions. This will determine the initiatives we deliver and the potential for growth, alongside recognising where we need to develop.</w:t>
      </w:r>
    </w:p>
    <w:p w:rsidR="00BC3AB0" w:rsidRPr="00AE2A33" w:rsidRDefault="00BC3AB0" w:rsidP="00BC3AB0">
      <w:pPr>
        <w:pStyle w:val="Introduction"/>
        <w:jc w:val="both"/>
        <w:rPr>
          <w:b w:val="0"/>
          <w:sz w:val="24"/>
          <w:szCs w:val="24"/>
        </w:rPr>
      </w:pPr>
    </w:p>
    <w:p w:rsidR="00BC3AB0" w:rsidRDefault="00BC3AB0" w:rsidP="00BC3AB0">
      <w:pPr>
        <w:pStyle w:val="Introduction"/>
        <w:rPr>
          <w:b w:val="0"/>
          <w:sz w:val="24"/>
          <w:szCs w:val="24"/>
        </w:rPr>
      </w:pPr>
      <w:r w:rsidRPr="00AE2A33">
        <w:rPr>
          <w:b w:val="0"/>
          <w:sz w:val="24"/>
          <w:szCs w:val="24"/>
        </w:rPr>
        <w:t xml:space="preserve">Our rates of representation have increased in those identifying as non-white (9.95%), LGB (6.80%) and those with a disability (22.82%) across the organisation. We also continue to represent gender diversity across the organisation with an almost equal split. </w:t>
      </w:r>
    </w:p>
    <w:p w:rsidR="00BC3AB0" w:rsidRPr="00AE2A33" w:rsidRDefault="00BC3AB0" w:rsidP="00BC3AB0">
      <w:pPr>
        <w:pStyle w:val="Introduction"/>
        <w:rPr>
          <w:b w:val="0"/>
          <w:sz w:val="24"/>
          <w:szCs w:val="24"/>
        </w:rPr>
      </w:pPr>
    </w:p>
    <w:p w:rsidR="00BC3AB0" w:rsidRDefault="00BC3AB0" w:rsidP="00BC3AB0">
      <w:pPr>
        <w:pStyle w:val="Introduction"/>
        <w:jc w:val="both"/>
        <w:rPr>
          <w:b w:val="0"/>
          <w:sz w:val="24"/>
          <w:szCs w:val="24"/>
        </w:rPr>
      </w:pPr>
      <w:r w:rsidRPr="00AE2A33">
        <w:rPr>
          <w:b w:val="0"/>
          <w:sz w:val="24"/>
          <w:szCs w:val="24"/>
        </w:rPr>
        <w:t>This progress, however, is tempered by the knowledge that these figures are not reflective of society from the latest Census data in 2021 and we must continue to address the lack of representation of ethnically diverse individuals and those with a disability across all levels.</w:t>
      </w:r>
    </w:p>
    <w:p w:rsidR="00BC3AB0" w:rsidRPr="00AE2A33" w:rsidRDefault="00BC3AB0" w:rsidP="00BC3AB0">
      <w:pPr>
        <w:pStyle w:val="Introduction"/>
        <w:jc w:val="both"/>
        <w:rPr>
          <w:b w:val="0"/>
          <w:sz w:val="24"/>
          <w:szCs w:val="24"/>
        </w:rPr>
      </w:pPr>
    </w:p>
    <w:p w:rsidR="00BC3AB0" w:rsidRDefault="00BC3AB0" w:rsidP="00BC3AB0">
      <w:pPr>
        <w:pStyle w:val="Introduction"/>
        <w:jc w:val="both"/>
        <w:rPr>
          <w:b w:val="0"/>
          <w:sz w:val="24"/>
          <w:szCs w:val="24"/>
        </w:rPr>
      </w:pPr>
      <w:r w:rsidRPr="00AE2A33">
        <w:rPr>
          <w:b w:val="0"/>
          <w:sz w:val="24"/>
          <w:szCs w:val="24"/>
        </w:rPr>
        <w:t xml:space="preserve">We continue to engage with organisations such as Sporting Equals and their Race Representation Index (RRI) to hold ourselves accountable in recognising the ongoing work that must take place alongside other National Governing Bodies. </w:t>
      </w:r>
    </w:p>
    <w:p w:rsidR="00BC3AB0" w:rsidRPr="00AE2A33" w:rsidRDefault="00BC3AB0" w:rsidP="00BC3AB0">
      <w:pPr>
        <w:pStyle w:val="Introduction"/>
        <w:jc w:val="both"/>
        <w:rPr>
          <w:b w:val="0"/>
          <w:sz w:val="24"/>
          <w:szCs w:val="24"/>
        </w:rPr>
      </w:pPr>
    </w:p>
    <w:p w:rsidR="00BC3AB0" w:rsidRPr="00AE2A33" w:rsidRDefault="00BC3AB0" w:rsidP="00BC3AB0">
      <w:pPr>
        <w:pStyle w:val="Introduction"/>
        <w:jc w:val="both"/>
        <w:rPr>
          <w:b w:val="0"/>
          <w:sz w:val="24"/>
          <w:szCs w:val="24"/>
        </w:rPr>
      </w:pPr>
      <w:r w:rsidRPr="00AE2A33">
        <w:rPr>
          <w:b w:val="0"/>
          <w:sz w:val="24"/>
          <w:szCs w:val="24"/>
        </w:rPr>
        <w:t xml:space="preserve">A full copy of the annual DEI Report can be found </w:t>
      </w:r>
      <w:hyperlink r:id="rId10" w:history="1">
        <w:r w:rsidRPr="00630361">
          <w:rPr>
            <w:rStyle w:val="Hyperlink"/>
            <w:sz w:val="24"/>
            <w:szCs w:val="24"/>
          </w:rPr>
          <w:t>here</w:t>
        </w:r>
      </w:hyperlink>
      <w:r w:rsidRPr="00AE2A33">
        <w:rPr>
          <w:b w:val="0"/>
          <w:sz w:val="24"/>
          <w:szCs w:val="24"/>
        </w:rPr>
        <w:t>.</w:t>
      </w:r>
    </w:p>
    <w:p w:rsidR="00BC3AB0" w:rsidRDefault="00BC3AB0" w:rsidP="00BC3AB0">
      <w:pPr>
        <w:spacing w:after="160" w:line="259" w:lineRule="auto"/>
      </w:pPr>
      <w:r>
        <w:br w:type="page"/>
      </w:r>
    </w:p>
    <w:p w:rsidR="00BC3AB0" w:rsidRPr="00684ECE" w:rsidRDefault="00BC3AB0" w:rsidP="00573DF9">
      <w:pPr>
        <w:pStyle w:val="Introduction"/>
      </w:pPr>
      <w:r w:rsidRPr="00684ECE">
        <w:lastRenderedPageBreak/>
        <w:t>DEI Survey 2023 – Headline Results</w:t>
      </w:r>
    </w:p>
    <w:tbl>
      <w:tblPr>
        <w:tblpPr w:leftFromText="180" w:rightFromText="180" w:vertAnchor="text" w:horzAnchor="margin" w:tblpY="414"/>
        <w:tblW w:w="4853" w:type="pct"/>
        <w:shd w:val="clear" w:color="auto" w:fill="FF0A6E" w:themeFill="background2"/>
        <w:tblLayout w:type="fixed"/>
        <w:tblLook w:val="04A0" w:firstRow="1" w:lastRow="0" w:firstColumn="1" w:lastColumn="0" w:noHBand="0" w:noVBand="1"/>
      </w:tblPr>
      <w:tblGrid>
        <w:gridCol w:w="2891"/>
        <w:gridCol w:w="2174"/>
        <w:gridCol w:w="2172"/>
        <w:gridCol w:w="2213"/>
      </w:tblGrid>
      <w:tr w:rsidR="00BC3AB0" w:rsidRPr="00AE2A33" w:rsidTr="006E6F9D">
        <w:trPr>
          <w:trHeight w:val="479"/>
        </w:trPr>
        <w:tc>
          <w:tcPr>
            <w:tcW w:w="1530" w:type="pct"/>
            <w:tcBorders>
              <w:top w:val="single" w:sz="4" w:space="0" w:color="auto"/>
              <w:left w:val="single" w:sz="4" w:space="0" w:color="auto"/>
              <w:bottom w:val="single" w:sz="4" w:space="0" w:color="auto"/>
              <w:right w:val="single" w:sz="4" w:space="0" w:color="auto"/>
            </w:tcBorders>
            <w:shd w:val="clear" w:color="auto" w:fill="FF0A6E" w:themeFill="background2"/>
            <w:noWrap/>
            <w:vAlign w:val="bottom"/>
            <w:hideMark/>
          </w:tcPr>
          <w:p w:rsidR="00BC3AB0" w:rsidRPr="00AE2A33" w:rsidRDefault="00BC3AB0" w:rsidP="00573DF9">
            <w:pPr>
              <w:spacing w:line="276" w:lineRule="auto"/>
              <w:rPr>
                <w:rFonts w:ascii="Arial" w:eastAsia="Times New Roman" w:hAnsi="Arial" w:cs="Arial"/>
                <w:sz w:val="20"/>
                <w:lang w:eastAsia="en-GB"/>
              </w:rPr>
            </w:pPr>
          </w:p>
        </w:tc>
        <w:tc>
          <w:tcPr>
            <w:tcW w:w="1150" w:type="pct"/>
            <w:tcBorders>
              <w:top w:val="single" w:sz="4" w:space="0" w:color="auto"/>
              <w:left w:val="nil"/>
              <w:bottom w:val="single" w:sz="4" w:space="0" w:color="auto"/>
              <w:right w:val="single" w:sz="4" w:space="0" w:color="auto"/>
            </w:tcBorders>
            <w:shd w:val="clear" w:color="auto" w:fill="FF0A6E" w:themeFill="background2"/>
            <w:noWrap/>
            <w:vAlign w:val="bottom"/>
            <w:hideMark/>
          </w:tcPr>
          <w:p w:rsidR="00BC3AB0" w:rsidRPr="00AE2A33" w:rsidRDefault="00BC3AB0" w:rsidP="00573DF9">
            <w:pPr>
              <w:spacing w:line="276" w:lineRule="auto"/>
              <w:rPr>
                <w:rFonts w:ascii="Arial" w:eastAsia="Times New Roman" w:hAnsi="Arial" w:cs="Arial"/>
                <w:sz w:val="20"/>
                <w:lang w:eastAsia="en-GB"/>
              </w:rPr>
            </w:pPr>
            <w:r w:rsidRPr="00AE2A33">
              <w:rPr>
                <w:rFonts w:ascii="Arial" w:eastAsia="Times New Roman" w:hAnsi="Arial" w:cs="Arial"/>
                <w:sz w:val="20"/>
                <w:lang w:eastAsia="en-GB"/>
              </w:rPr>
              <w:t>Census Data (2021) of General Population</w:t>
            </w:r>
          </w:p>
        </w:tc>
        <w:tc>
          <w:tcPr>
            <w:tcW w:w="1149" w:type="pct"/>
            <w:tcBorders>
              <w:top w:val="single" w:sz="4" w:space="0" w:color="auto"/>
              <w:left w:val="nil"/>
              <w:bottom w:val="single" w:sz="4" w:space="0" w:color="auto"/>
              <w:right w:val="single" w:sz="4" w:space="0" w:color="auto"/>
            </w:tcBorders>
            <w:shd w:val="clear" w:color="auto" w:fill="FF0A6E" w:themeFill="background2"/>
            <w:noWrap/>
            <w:vAlign w:val="bottom"/>
            <w:hideMark/>
          </w:tcPr>
          <w:p w:rsidR="00BC3AB0" w:rsidRPr="00AE2A33" w:rsidRDefault="00F671B7" w:rsidP="00573DF9">
            <w:pPr>
              <w:spacing w:line="276" w:lineRule="auto"/>
              <w:rPr>
                <w:rFonts w:ascii="Arial" w:eastAsia="Times New Roman" w:hAnsi="Arial" w:cs="Arial"/>
                <w:sz w:val="20"/>
                <w:lang w:eastAsia="en-GB"/>
              </w:rPr>
            </w:pPr>
            <w:r>
              <w:rPr>
                <w:rFonts w:ascii="Arial" w:eastAsia="Times New Roman" w:hAnsi="Arial" w:cs="Arial"/>
                <w:sz w:val="20"/>
                <w:lang w:eastAsia="en-GB"/>
              </w:rPr>
              <w:t>Aquatics GB</w:t>
            </w:r>
            <w:r w:rsidR="00BC3AB0" w:rsidRPr="00AE2A33">
              <w:rPr>
                <w:rFonts w:ascii="Arial" w:eastAsia="Times New Roman" w:hAnsi="Arial" w:cs="Arial"/>
                <w:sz w:val="20"/>
                <w:lang w:eastAsia="en-GB"/>
              </w:rPr>
              <w:t xml:space="preserve"> Survey Results 2022</w:t>
            </w:r>
          </w:p>
        </w:tc>
        <w:tc>
          <w:tcPr>
            <w:tcW w:w="1171" w:type="pct"/>
            <w:tcBorders>
              <w:top w:val="single" w:sz="4" w:space="0" w:color="auto"/>
              <w:left w:val="nil"/>
              <w:bottom w:val="single" w:sz="4" w:space="0" w:color="auto"/>
              <w:right w:val="single" w:sz="4" w:space="0" w:color="auto"/>
            </w:tcBorders>
            <w:shd w:val="clear" w:color="auto" w:fill="FF0A6E" w:themeFill="background2"/>
          </w:tcPr>
          <w:p w:rsidR="00BC3AB0" w:rsidRPr="00AE2A33" w:rsidRDefault="00BC3AB0" w:rsidP="00573DF9">
            <w:pPr>
              <w:spacing w:line="276" w:lineRule="auto"/>
              <w:rPr>
                <w:rFonts w:ascii="Arial" w:eastAsia="Times New Roman" w:hAnsi="Arial" w:cs="Arial"/>
                <w:sz w:val="20"/>
                <w:lang w:eastAsia="en-GB"/>
              </w:rPr>
            </w:pPr>
          </w:p>
          <w:p w:rsidR="00BC3AB0" w:rsidRPr="00AE2A33" w:rsidRDefault="00F671B7" w:rsidP="00573DF9">
            <w:pPr>
              <w:spacing w:line="276" w:lineRule="auto"/>
              <w:rPr>
                <w:rFonts w:ascii="Arial" w:eastAsia="Times New Roman" w:hAnsi="Arial" w:cs="Arial"/>
                <w:sz w:val="20"/>
                <w:lang w:eastAsia="en-GB"/>
              </w:rPr>
            </w:pPr>
            <w:r>
              <w:rPr>
                <w:rFonts w:ascii="Arial" w:eastAsia="Times New Roman" w:hAnsi="Arial" w:cs="Arial"/>
                <w:sz w:val="20"/>
                <w:lang w:eastAsia="en-GB"/>
              </w:rPr>
              <w:t>Aquatics GB</w:t>
            </w:r>
            <w:r w:rsidR="00BC3AB0" w:rsidRPr="00AE2A33">
              <w:rPr>
                <w:rFonts w:ascii="Arial" w:eastAsia="Times New Roman" w:hAnsi="Arial" w:cs="Arial"/>
                <w:sz w:val="20"/>
                <w:lang w:eastAsia="en-GB"/>
              </w:rPr>
              <w:t xml:space="preserve"> Survey Results 2023</w:t>
            </w:r>
          </w:p>
        </w:tc>
      </w:tr>
      <w:tr w:rsidR="00BC3AB0" w:rsidRPr="00AE2A33" w:rsidTr="006E6F9D">
        <w:trPr>
          <w:trHeight w:val="294"/>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hideMark/>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Identify as White (All White Categories)</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81.7%</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92.92%</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hAnsi="Arial" w:cs="Arial"/>
                <w:sz w:val="20"/>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hAnsi="Arial" w:cs="Arial"/>
                <w:sz w:val="20"/>
              </w:rPr>
              <w:t>87.86%</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hideMark/>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Identify as Non-White (All Non-White Categories)</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18.3%</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6.3%</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9.95%</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hideMark/>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Identify as LGB+</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3.2%</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4.9%</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6.80%</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Did not answer question/Prefer not to say (LGB+)</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7.5%</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5.59%</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9.22%</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Identify as disabled (employees, board and athletes)</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17.7%</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16.08%</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22.82%</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Employees identified as disabled (Board and employees)</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6.94%</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p>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5.63%</w:t>
            </w:r>
          </w:p>
        </w:tc>
      </w:tr>
      <w:tr w:rsidR="00BC3AB0" w:rsidRPr="00AE2A33" w:rsidTr="006E6F9D">
        <w:trPr>
          <w:trHeight w:val="171"/>
        </w:trPr>
        <w:tc>
          <w:tcPr>
            <w:tcW w:w="1530" w:type="pct"/>
            <w:tcBorders>
              <w:top w:val="nil"/>
              <w:left w:val="single" w:sz="4" w:space="0" w:color="auto"/>
              <w:bottom w:val="nil"/>
              <w:right w:val="single" w:sz="4" w:space="0" w:color="auto"/>
            </w:tcBorders>
            <w:shd w:val="clear" w:color="auto" w:fill="FF0A6E" w:themeFill="background2"/>
            <w:noWrap/>
            <w:vAlign w:val="bottom"/>
          </w:tcPr>
          <w:p w:rsidR="00BC3AB0" w:rsidRPr="00267D03" w:rsidRDefault="00BC3AB0" w:rsidP="00573DF9">
            <w:p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Religion</w:t>
            </w:r>
          </w:p>
        </w:tc>
        <w:tc>
          <w:tcPr>
            <w:tcW w:w="1150"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rPr>
                <w:rFonts w:ascii="Arial" w:eastAsia="Times New Roman" w:hAnsi="Arial" w:cs="Arial"/>
                <w:sz w:val="20"/>
                <w:lang w:eastAsia="en-GB"/>
              </w:rPr>
            </w:pPr>
          </w:p>
        </w:tc>
        <w:tc>
          <w:tcPr>
            <w:tcW w:w="1149"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rPr>
                <w:rFonts w:ascii="Arial" w:eastAsia="Times New Roman" w:hAnsi="Arial" w:cs="Arial"/>
                <w:sz w:val="20"/>
                <w:lang w:eastAsia="en-GB"/>
              </w:rPr>
            </w:pPr>
          </w:p>
        </w:tc>
        <w:tc>
          <w:tcPr>
            <w:tcW w:w="1171" w:type="pct"/>
            <w:tcBorders>
              <w:top w:val="nil"/>
              <w:left w:val="nil"/>
              <w:bottom w:val="nil"/>
              <w:right w:val="single" w:sz="4" w:space="0" w:color="auto"/>
            </w:tcBorders>
            <w:shd w:val="clear" w:color="auto" w:fill="FFFFFF" w:themeFill="background1"/>
          </w:tcPr>
          <w:p w:rsidR="00BC3AB0" w:rsidRPr="00AE2A33" w:rsidRDefault="00BC3AB0" w:rsidP="00573DF9">
            <w:pPr>
              <w:spacing w:line="276" w:lineRule="auto"/>
              <w:rPr>
                <w:rFonts w:ascii="Arial" w:eastAsia="Times New Roman" w:hAnsi="Arial" w:cs="Arial"/>
                <w:sz w:val="20"/>
                <w:lang w:eastAsia="en-GB"/>
              </w:rPr>
            </w:pPr>
          </w:p>
        </w:tc>
      </w:tr>
      <w:tr w:rsidR="00BC3AB0" w:rsidRPr="00AE2A33" w:rsidTr="006E6F9D">
        <w:trPr>
          <w:trHeight w:val="171"/>
        </w:trPr>
        <w:tc>
          <w:tcPr>
            <w:tcW w:w="1530" w:type="pct"/>
            <w:tcBorders>
              <w:top w:val="nil"/>
              <w:left w:val="single" w:sz="4" w:space="0" w:color="auto"/>
              <w:bottom w:val="nil"/>
              <w:right w:val="single" w:sz="4" w:space="0" w:color="auto"/>
            </w:tcBorders>
            <w:shd w:val="clear" w:color="auto" w:fill="FF0A6E" w:themeFill="background2"/>
            <w:noWrap/>
            <w:vAlign w:val="bottom"/>
          </w:tcPr>
          <w:p w:rsidR="00BC3AB0" w:rsidRPr="00267D03" w:rsidRDefault="00BC3AB0" w:rsidP="00573DF9">
            <w:pPr>
              <w:numPr>
                <w:ilvl w:val="0"/>
                <w:numId w:val="2"/>
              </w:num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Christian</w:t>
            </w:r>
          </w:p>
        </w:tc>
        <w:tc>
          <w:tcPr>
            <w:tcW w:w="1150"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46.2%</w:t>
            </w:r>
          </w:p>
        </w:tc>
        <w:tc>
          <w:tcPr>
            <w:tcW w:w="1149"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39.16%</w:t>
            </w:r>
          </w:p>
        </w:tc>
        <w:tc>
          <w:tcPr>
            <w:tcW w:w="1171" w:type="pct"/>
            <w:tcBorders>
              <w:top w:val="nil"/>
              <w:left w:val="nil"/>
              <w:bottom w:val="nil"/>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37.04%</w:t>
            </w:r>
          </w:p>
        </w:tc>
      </w:tr>
      <w:tr w:rsidR="00BC3AB0" w:rsidRPr="00AE2A33" w:rsidTr="006E6F9D">
        <w:trPr>
          <w:trHeight w:val="171"/>
        </w:trPr>
        <w:tc>
          <w:tcPr>
            <w:tcW w:w="1530" w:type="pct"/>
            <w:tcBorders>
              <w:top w:val="nil"/>
              <w:left w:val="single" w:sz="4" w:space="0" w:color="auto"/>
              <w:bottom w:val="nil"/>
              <w:right w:val="single" w:sz="4" w:space="0" w:color="auto"/>
            </w:tcBorders>
            <w:shd w:val="clear" w:color="auto" w:fill="FF0A6E" w:themeFill="background2"/>
            <w:noWrap/>
            <w:vAlign w:val="bottom"/>
          </w:tcPr>
          <w:p w:rsidR="00BC3AB0" w:rsidRPr="00267D03" w:rsidRDefault="00BC3AB0" w:rsidP="00573DF9">
            <w:pPr>
              <w:numPr>
                <w:ilvl w:val="0"/>
                <w:numId w:val="2"/>
              </w:num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No religion</w:t>
            </w:r>
          </w:p>
        </w:tc>
        <w:tc>
          <w:tcPr>
            <w:tcW w:w="1150"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37.2%</w:t>
            </w:r>
          </w:p>
        </w:tc>
        <w:tc>
          <w:tcPr>
            <w:tcW w:w="1149"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56.64%</w:t>
            </w:r>
          </w:p>
        </w:tc>
        <w:tc>
          <w:tcPr>
            <w:tcW w:w="1171" w:type="pct"/>
            <w:tcBorders>
              <w:top w:val="nil"/>
              <w:left w:val="nil"/>
              <w:bottom w:val="nil"/>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57.04%</w:t>
            </w:r>
          </w:p>
        </w:tc>
      </w:tr>
      <w:tr w:rsidR="00BC3AB0" w:rsidRPr="00AE2A33" w:rsidTr="006E6F9D">
        <w:trPr>
          <w:trHeight w:val="38"/>
        </w:trPr>
        <w:tc>
          <w:tcPr>
            <w:tcW w:w="1530" w:type="pct"/>
            <w:tcBorders>
              <w:top w:val="nil"/>
              <w:left w:val="single" w:sz="4" w:space="0" w:color="auto"/>
              <w:bottom w:val="nil"/>
              <w:right w:val="single" w:sz="4" w:space="0" w:color="auto"/>
            </w:tcBorders>
            <w:shd w:val="clear" w:color="auto" w:fill="FF0A6E" w:themeFill="background2"/>
            <w:noWrap/>
            <w:vAlign w:val="bottom"/>
          </w:tcPr>
          <w:p w:rsidR="00BC3AB0" w:rsidRPr="00267D03" w:rsidRDefault="00BC3AB0" w:rsidP="00573DF9">
            <w:pPr>
              <w:numPr>
                <w:ilvl w:val="0"/>
                <w:numId w:val="2"/>
              </w:num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Muslim</w:t>
            </w:r>
          </w:p>
        </w:tc>
        <w:tc>
          <w:tcPr>
            <w:tcW w:w="1150"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6.5%</w:t>
            </w:r>
          </w:p>
        </w:tc>
        <w:tc>
          <w:tcPr>
            <w:tcW w:w="1149" w:type="pct"/>
            <w:tcBorders>
              <w:top w:val="nil"/>
              <w:left w:val="nil"/>
              <w:bottom w:val="nil"/>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0%</w:t>
            </w:r>
          </w:p>
        </w:tc>
        <w:tc>
          <w:tcPr>
            <w:tcW w:w="1171" w:type="pct"/>
            <w:tcBorders>
              <w:top w:val="nil"/>
              <w:left w:val="nil"/>
              <w:bottom w:val="nil"/>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0%</w:t>
            </w:r>
          </w:p>
        </w:tc>
      </w:tr>
      <w:tr w:rsidR="00BC3AB0" w:rsidRPr="00AE2A33" w:rsidTr="006E6F9D">
        <w:trPr>
          <w:trHeight w:val="171"/>
        </w:trPr>
        <w:tc>
          <w:tcPr>
            <w:tcW w:w="1530" w:type="pct"/>
            <w:tcBorders>
              <w:top w:val="nil"/>
              <w:left w:val="single" w:sz="4" w:space="0" w:color="auto"/>
              <w:bottom w:val="single" w:sz="4" w:space="0" w:color="auto"/>
              <w:right w:val="single" w:sz="4" w:space="0" w:color="auto"/>
            </w:tcBorders>
            <w:shd w:val="clear" w:color="auto" w:fill="FF0A6E" w:themeFill="background2"/>
            <w:noWrap/>
            <w:vAlign w:val="bottom"/>
          </w:tcPr>
          <w:p w:rsidR="00BC3AB0" w:rsidRPr="00267D03" w:rsidRDefault="00BC3AB0" w:rsidP="00573DF9">
            <w:pPr>
              <w:numPr>
                <w:ilvl w:val="0"/>
                <w:numId w:val="2"/>
              </w:numPr>
              <w:spacing w:line="276" w:lineRule="auto"/>
              <w:rPr>
                <w:rFonts w:ascii="Arial" w:eastAsia="Times New Roman" w:hAnsi="Arial" w:cs="Arial"/>
                <w:b/>
                <w:sz w:val="20"/>
                <w:lang w:eastAsia="en-GB"/>
              </w:rPr>
            </w:pPr>
            <w:r w:rsidRPr="00267D03">
              <w:rPr>
                <w:rFonts w:ascii="Arial" w:eastAsia="Times New Roman" w:hAnsi="Arial" w:cs="Arial"/>
                <w:b/>
                <w:sz w:val="20"/>
                <w:lang w:eastAsia="en-GB"/>
              </w:rPr>
              <w:t>Hindu</w:t>
            </w:r>
          </w:p>
        </w:tc>
        <w:tc>
          <w:tcPr>
            <w:tcW w:w="1150"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1.7%</w:t>
            </w:r>
          </w:p>
        </w:tc>
        <w:tc>
          <w:tcPr>
            <w:tcW w:w="1149" w:type="pct"/>
            <w:tcBorders>
              <w:top w:val="nil"/>
              <w:left w:val="nil"/>
              <w:bottom w:val="single" w:sz="4" w:space="0" w:color="auto"/>
              <w:right w:val="single" w:sz="4" w:space="0" w:color="auto"/>
            </w:tcBorders>
            <w:shd w:val="clear" w:color="auto" w:fill="FFFFFF" w:themeFill="background1"/>
            <w:noWrap/>
            <w:vAlign w:val="bottom"/>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0%</w:t>
            </w:r>
          </w:p>
        </w:tc>
        <w:tc>
          <w:tcPr>
            <w:tcW w:w="1171" w:type="pct"/>
            <w:tcBorders>
              <w:top w:val="nil"/>
              <w:left w:val="nil"/>
              <w:bottom w:val="single" w:sz="4" w:space="0" w:color="auto"/>
              <w:right w:val="single" w:sz="4" w:space="0" w:color="auto"/>
            </w:tcBorders>
            <w:shd w:val="clear" w:color="auto" w:fill="FFFFFF" w:themeFill="background1"/>
          </w:tcPr>
          <w:p w:rsidR="00BC3AB0" w:rsidRPr="00AE2A33" w:rsidRDefault="00BC3AB0" w:rsidP="00573DF9">
            <w:pPr>
              <w:spacing w:line="276" w:lineRule="auto"/>
              <w:jc w:val="center"/>
              <w:rPr>
                <w:rFonts w:ascii="Arial" w:eastAsia="Times New Roman" w:hAnsi="Arial" w:cs="Arial"/>
                <w:sz w:val="20"/>
                <w:lang w:eastAsia="en-GB"/>
              </w:rPr>
            </w:pPr>
            <w:r w:rsidRPr="00AE2A33">
              <w:rPr>
                <w:rFonts w:ascii="Arial" w:eastAsia="Times New Roman" w:hAnsi="Arial" w:cs="Arial"/>
                <w:sz w:val="20"/>
                <w:lang w:eastAsia="en-GB"/>
              </w:rPr>
              <w:t>0%</w:t>
            </w:r>
          </w:p>
        </w:tc>
      </w:tr>
    </w:tbl>
    <w:p w:rsidR="00BC3AB0" w:rsidRDefault="00BC3AB0" w:rsidP="00573DF9">
      <w:pPr>
        <w:spacing w:line="276" w:lineRule="auto"/>
        <w:jc w:val="both"/>
        <w:rPr>
          <w:rFonts w:ascii="Arial" w:hAnsi="Arial" w:cs="Arial"/>
          <w:b/>
        </w:rPr>
      </w:pPr>
      <w:bookmarkStart w:id="0" w:name="_GoBack"/>
      <w:bookmarkEnd w:id="0"/>
    </w:p>
    <w:p w:rsidR="00BC3AB0" w:rsidRDefault="00BC3AB0" w:rsidP="00573DF9">
      <w:pPr>
        <w:spacing w:line="276" w:lineRule="auto"/>
        <w:jc w:val="both"/>
        <w:rPr>
          <w:rFonts w:ascii="Arial" w:hAnsi="Arial" w:cs="Arial"/>
          <w:b/>
        </w:rPr>
      </w:pPr>
    </w:p>
    <w:p w:rsidR="00BC3AB0" w:rsidRPr="00B4696E" w:rsidRDefault="00BC3AB0" w:rsidP="00573DF9">
      <w:pPr>
        <w:spacing w:line="276" w:lineRule="auto"/>
        <w:jc w:val="both"/>
        <w:rPr>
          <w:rFonts w:ascii="Arial" w:hAnsi="Arial" w:cs="Arial"/>
          <w:b/>
        </w:rPr>
      </w:pPr>
      <w:r>
        <w:rPr>
          <w:noProof/>
          <w:lang w:eastAsia="en-GB"/>
        </w:rPr>
        <w:drawing>
          <wp:inline distT="0" distB="0" distL="0" distR="0" wp14:anchorId="5691866F" wp14:editId="27DF4211">
            <wp:extent cx="5652655" cy="348904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450" t="16547" r="31834" b="34384"/>
                    <a:stretch/>
                  </pic:blipFill>
                  <pic:spPr bwMode="auto">
                    <a:xfrm>
                      <a:off x="0" y="0"/>
                      <a:ext cx="5681280" cy="3506715"/>
                    </a:xfrm>
                    <a:prstGeom prst="rect">
                      <a:avLst/>
                    </a:prstGeom>
                    <a:ln>
                      <a:noFill/>
                    </a:ln>
                    <a:extLst>
                      <a:ext uri="{53640926-AAD7-44D8-BBD7-CCE9431645EC}">
                        <a14:shadowObscured xmlns:a14="http://schemas.microsoft.com/office/drawing/2010/main"/>
                      </a:ext>
                    </a:extLst>
                  </pic:spPr>
                </pic:pic>
              </a:graphicData>
            </a:graphic>
          </wp:inline>
        </w:drawing>
      </w:r>
    </w:p>
    <w:p w:rsidR="00BC3AB0" w:rsidRPr="00684ECE" w:rsidRDefault="00F671B7" w:rsidP="00573DF9">
      <w:pPr>
        <w:spacing w:line="276" w:lineRule="auto"/>
        <w:jc w:val="both"/>
        <w:rPr>
          <w:sz w:val="20"/>
          <w:szCs w:val="24"/>
        </w:rPr>
      </w:pPr>
      <w:r>
        <w:rPr>
          <w:sz w:val="20"/>
          <w:szCs w:val="24"/>
        </w:rPr>
        <w:t>Aquatics GB</w:t>
      </w:r>
      <w:r w:rsidR="00BC3AB0" w:rsidRPr="00AE2A33">
        <w:rPr>
          <w:sz w:val="20"/>
          <w:szCs w:val="24"/>
        </w:rPr>
        <w:t xml:space="preserve">’s overall RRI for 2022 </w:t>
      </w:r>
      <w:r>
        <w:rPr>
          <w:sz w:val="20"/>
          <w:szCs w:val="24"/>
        </w:rPr>
        <w:t xml:space="preserve">(was British Swimming) </w:t>
      </w:r>
      <w:r w:rsidR="00BC3AB0" w:rsidRPr="00AE2A33">
        <w:rPr>
          <w:sz w:val="20"/>
          <w:szCs w:val="24"/>
        </w:rPr>
        <w:t xml:space="preserve">was graded E, placing 42 of 64 sports. Appendix 1 outlines the rationale for this scoring system. Whilst we are proud of the diverse perspective every colleague brings to the organisation, we know we have much more to do. </w:t>
      </w:r>
    </w:p>
    <w:p w:rsidR="00BC3AB0" w:rsidRDefault="00BC3AB0" w:rsidP="00573DF9">
      <w:pPr>
        <w:pStyle w:val="Introduction"/>
      </w:pPr>
      <w:r>
        <w:lastRenderedPageBreak/>
        <w:t>Strategic Goals</w:t>
      </w:r>
    </w:p>
    <w:p w:rsidR="00BC3AB0" w:rsidRDefault="00BC3AB0" w:rsidP="00573DF9">
      <w:pPr>
        <w:spacing w:line="276" w:lineRule="auto"/>
      </w:pPr>
      <w:r>
        <w:t>To ensure success, the DEIAP is centred on 3 strategic goals. These goals are underpinned by associated objectives, accountable leads, timeframes and targeted measurements of success.</w:t>
      </w:r>
    </w:p>
    <w:p w:rsidR="00BC3AB0" w:rsidRDefault="00BC3AB0" w:rsidP="00573DF9">
      <w:pPr>
        <w:spacing w:line="276" w:lineRule="auto"/>
      </w:pPr>
    </w:p>
    <w:p w:rsidR="00BC3AB0" w:rsidRDefault="00BC3AB0" w:rsidP="00573DF9">
      <w:pPr>
        <w:pStyle w:val="ListParagraph"/>
        <w:numPr>
          <w:ilvl w:val="0"/>
          <w:numId w:val="3"/>
        </w:numPr>
        <w:spacing w:line="276" w:lineRule="auto"/>
      </w:pPr>
      <w:r>
        <w:t>Increase diversity and representation at all levels of the organisation – Attracting, developing and retaining diverse talent.</w:t>
      </w:r>
    </w:p>
    <w:p w:rsidR="00BC3AB0" w:rsidRDefault="00BC3AB0" w:rsidP="00573DF9">
      <w:pPr>
        <w:pStyle w:val="ListParagraph"/>
        <w:spacing w:line="276" w:lineRule="auto"/>
      </w:pPr>
    </w:p>
    <w:p w:rsidR="00BC3AB0" w:rsidRDefault="00BC3AB0" w:rsidP="00573DF9">
      <w:pPr>
        <w:pStyle w:val="ListParagraph"/>
        <w:numPr>
          <w:ilvl w:val="0"/>
          <w:numId w:val="3"/>
        </w:numPr>
        <w:spacing w:line="276" w:lineRule="auto"/>
      </w:pPr>
      <w:r>
        <w:t>Embed and transform inclusion practice across the aquatics disciplines – providing an organisation that creates and maintains a culture that values and understands the benefits that Diversity, Equity and Inclusion (DEI) bring.</w:t>
      </w:r>
    </w:p>
    <w:p w:rsidR="00BC3AB0" w:rsidRDefault="00BC3AB0" w:rsidP="00573DF9">
      <w:pPr>
        <w:pStyle w:val="ListParagraph"/>
        <w:spacing w:line="276" w:lineRule="auto"/>
      </w:pPr>
    </w:p>
    <w:p w:rsidR="00BC3AB0" w:rsidRDefault="00BC3AB0" w:rsidP="00573DF9">
      <w:pPr>
        <w:pStyle w:val="ListParagraph"/>
        <w:numPr>
          <w:ilvl w:val="0"/>
          <w:numId w:val="3"/>
        </w:numPr>
        <w:spacing w:line="276" w:lineRule="auto"/>
      </w:pPr>
      <w:r>
        <w:t>Develop the organisations reputation as a socially responsible, inclusive and diverse company that people want to work for and partner with. We will do this by advocating, communicating and educating on DEI.</w:t>
      </w:r>
    </w:p>
    <w:p w:rsidR="00BC3AB0" w:rsidRDefault="00BC3AB0" w:rsidP="00573DF9">
      <w:pPr>
        <w:spacing w:line="276" w:lineRule="auto"/>
      </w:pPr>
    </w:p>
    <w:p w:rsidR="00BC3AB0" w:rsidRDefault="00BC3AB0" w:rsidP="00573DF9">
      <w:pPr>
        <w:spacing w:line="276" w:lineRule="auto"/>
      </w:pPr>
    </w:p>
    <w:tbl>
      <w:tblPr>
        <w:tblStyle w:val="TableGrid"/>
        <w:tblpPr w:leftFromText="180" w:rightFromText="180" w:vertAnchor="text" w:horzAnchor="margin" w:tblpY="-17"/>
        <w:tblW w:w="0" w:type="auto"/>
        <w:tblLook w:val="04A0" w:firstRow="1" w:lastRow="0" w:firstColumn="1" w:lastColumn="0" w:noHBand="0" w:noVBand="1"/>
      </w:tblPr>
      <w:tblGrid>
        <w:gridCol w:w="3270"/>
        <w:gridCol w:w="6466"/>
      </w:tblGrid>
      <w:tr w:rsidR="00BC3AB0" w:rsidRPr="00AE2A33" w:rsidTr="006E6F9D">
        <w:tc>
          <w:tcPr>
            <w:tcW w:w="3397" w:type="dxa"/>
            <w:shd w:val="clear" w:color="auto" w:fill="FF0A6E" w:themeFill="background2"/>
          </w:tcPr>
          <w:p w:rsidR="00BC3AB0" w:rsidRPr="00AE2A33" w:rsidRDefault="00BC3AB0" w:rsidP="00573DF9">
            <w:pPr>
              <w:spacing w:line="276" w:lineRule="auto"/>
              <w:rPr>
                <w:b/>
              </w:rPr>
            </w:pPr>
            <w:r w:rsidRPr="00AE2A33">
              <w:rPr>
                <w:b/>
              </w:rPr>
              <w:t>Strategic Goal</w:t>
            </w:r>
          </w:p>
        </w:tc>
        <w:tc>
          <w:tcPr>
            <w:tcW w:w="6804" w:type="dxa"/>
            <w:shd w:val="clear" w:color="auto" w:fill="FF0A6E" w:themeFill="background2"/>
          </w:tcPr>
          <w:p w:rsidR="00BC3AB0" w:rsidRPr="00AE2A33" w:rsidRDefault="00BC3AB0" w:rsidP="00573DF9">
            <w:pPr>
              <w:spacing w:line="276" w:lineRule="auto"/>
              <w:rPr>
                <w:b/>
              </w:rPr>
            </w:pPr>
            <w:r w:rsidRPr="00AE2A33">
              <w:rPr>
                <w:b/>
              </w:rPr>
              <w:t>Objectives</w:t>
            </w:r>
          </w:p>
        </w:tc>
      </w:tr>
      <w:tr w:rsidR="00BC3AB0" w:rsidRPr="00AE2A33" w:rsidTr="006E6F9D">
        <w:tc>
          <w:tcPr>
            <w:tcW w:w="3397" w:type="dxa"/>
            <w:vMerge w:val="restart"/>
          </w:tcPr>
          <w:p w:rsidR="00BC3AB0" w:rsidRPr="00AE2A33" w:rsidRDefault="00BC3AB0" w:rsidP="00573DF9">
            <w:pPr>
              <w:spacing w:line="276" w:lineRule="auto"/>
              <w:rPr>
                <w:b/>
              </w:rPr>
            </w:pPr>
            <w:r w:rsidRPr="00AE2A33">
              <w:rPr>
                <w:b/>
              </w:rPr>
              <w:t xml:space="preserve">1. Increase </w:t>
            </w:r>
            <w:r w:rsidRPr="00AE2A33">
              <w:t>diversity and representation at all levels of the organisation</w:t>
            </w:r>
          </w:p>
          <w:p w:rsidR="00BC3AB0" w:rsidRPr="00AE2A33" w:rsidRDefault="00BC3AB0" w:rsidP="00573DF9">
            <w:pPr>
              <w:spacing w:line="276" w:lineRule="auto"/>
              <w:rPr>
                <w:b/>
              </w:rPr>
            </w:pPr>
          </w:p>
        </w:tc>
        <w:tc>
          <w:tcPr>
            <w:tcW w:w="6804" w:type="dxa"/>
          </w:tcPr>
          <w:p w:rsidR="00BC3AB0" w:rsidRPr="00AE2A33" w:rsidRDefault="00BC3AB0" w:rsidP="00573DF9">
            <w:pPr>
              <w:spacing w:line="276" w:lineRule="auto"/>
            </w:pPr>
            <w:r w:rsidRPr="00AE2A33">
              <w:t>Plan and execute a recruitment review to ensure diverse candidates are attracted to the organisation.</w:t>
            </w:r>
          </w:p>
        </w:tc>
      </w:tr>
      <w:tr w:rsidR="00BC3AB0" w:rsidRPr="00AE2A33" w:rsidTr="006E6F9D">
        <w:tc>
          <w:tcPr>
            <w:tcW w:w="3397" w:type="dxa"/>
            <w:vMerge/>
          </w:tcPr>
          <w:p w:rsidR="00BC3AB0" w:rsidRPr="00AE2A33" w:rsidRDefault="00BC3AB0" w:rsidP="00573DF9">
            <w:pPr>
              <w:spacing w:line="276" w:lineRule="auto"/>
            </w:pPr>
          </w:p>
        </w:tc>
        <w:tc>
          <w:tcPr>
            <w:tcW w:w="6804" w:type="dxa"/>
          </w:tcPr>
          <w:p w:rsidR="00BC3AB0" w:rsidRPr="00AE2A33" w:rsidRDefault="00BC3AB0" w:rsidP="00573DF9">
            <w:pPr>
              <w:spacing w:line="276" w:lineRule="auto"/>
            </w:pPr>
            <w:r w:rsidRPr="00AE2A33">
              <w:t>Build a diverse and representative Board &amp; Senior Management Team.</w:t>
            </w:r>
          </w:p>
        </w:tc>
      </w:tr>
      <w:tr w:rsidR="00BC3AB0" w:rsidRPr="00AE2A33" w:rsidTr="006E6F9D">
        <w:tc>
          <w:tcPr>
            <w:tcW w:w="3397" w:type="dxa"/>
            <w:vMerge w:val="restart"/>
          </w:tcPr>
          <w:p w:rsidR="00BC3AB0" w:rsidRPr="00AE2A33" w:rsidRDefault="00BC3AB0" w:rsidP="00573DF9">
            <w:pPr>
              <w:spacing w:line="276" w:lineRule="auto"/>
              <w:rPr>
                <w:b/>
              </w:rPr>
            </w:pPr>
            <w:r w:rsidRPr="00AE2A33">
              <w:rPr>
                <w:b/>
              </w:rPr>
              <w:t xml:space="preserve">2. Embed </w:t>
            </w:r>
            <w:r w:rsidRPr="00AE2A33">
              <w:t>and transform inclusion practice across the aquatics disciplines</w:t>
            </w:r>
          </w:p>
        </w:tc>
        <w:tc>
          <w:tcPr>
            <w:tcW w:w="6804" w:type="dxa"/>
          </w:tcPr>
          <w:p w:rsidR="00BC3AB0" w:rsidRPr="00AE2A33" w:rsidRDefault="00BC3AB0" w:rsidP="00573DF9">
            <w:pPr>
              <w:spacing w:line="276" w:lineRule="auto"/>
            </w:pPr>
            <w:r w:rsidRPr="00AE2A33">
              <w:t>Conduct a comprehensive assessment of the current inclusion practices across the organisation to identify gaps and areas for improvement.</w:t>
            </w:r>
          </w:p>
        </w:tc>
      </w:tr>
      <w:tr w:rsidR="00BC3AB0" w:rsidRPr="00AE2A33" w:rsidTr="006E6F9D">
        <w:tc>
          <w:tcPr>
            <w:tcW w:w="3397" w:type="dxa"/>
            <w:vMerge/>
          </w:tcPr>
          <w:p w:rsidR="00BC3AB0" w:rsidRPr="00AE2A33" w:rsidRDefault="00BC3AB0" w:rsidP="00573DF9">
            <w:pPr>
              <w:spacing w:line="276" w:lineRule="auto"/>
              <w:rPr>
                <w:b/>
              </w:rPr>
            </w:pPr>
          </w:p>
        </w:tc>
        <w:tc>
          <w:tcPr>
            <w:tcW w:w="6804" w:type="dxa"/>
          </w:tcPr>
          <w:p w:rsidR="00BC3AB0" w:rsidRPr="00AE2A33" w:rsidRDefault="00BC3AB0" w:rsidP="00573DF9">
            <w:pPr>
              <w:spacing w:line="276" w:lineRule="auto"/>
            </w:pPr>
            <w:r w:rsidRPr="00AE2A33">
              <w:t>Provide regular and relevant DEI training and education opportunities for all employees highlighting the organisational benefits DEI bring (Internal education).</w:t>
            </w:r>
          </w:p>
        </w:tc>
      </w:tr>
      <w:tr w:rsidR="00BC3AB0" w:rsidRPr="00AE2A33" w:rsidTr="006E6F9D">
        <w:tc>
          <w:tcPr>
            <w:tcW w:w="3397" w:type="dxa"/>
            <w:vMerge/>
          </w:tcPr>
          <w:p w:rsidR="00BC3AB0" w:rsidRPr="00AE2A33" w:rsidRDefault="00BC3AB0" w:rsidP="00573DF9">
            <w:pPr>
              <w:spacing w:line="276" w:lineRule="auto"/>
              <w:rPr>
                <w:b/>
              </w:rPr>
            </w:pPr>
          </w:p>
        </w:tc>
        <w:tc>
          <w:tcPr>
            <w:tcW w:w="6804" w:type="dxa"/>
          </w:tcPr>
          <w:p w:rsidR="00BC3AB0" w:rsidRPr="00AE2A33" w:rsidRDefault="00BC3AB0" w:rsidP="00573DF9">
            <w:pPr>
              <w:spacing w:line="276" w:lineRule="auto"/>
            </w:pPr>
            <w:r w:rsidRPr="00AE2A33">
              <w:t xml:space="preserve">Create and grow a Diversity, Equity &amp; Inclusion Advisory Group (DEIAG), reporting directly to </w:t>
            </w:r>
            <w:r w:rsidR="00F671B7">
              <w:t>Aquatics GB</w:t>
            </w:r>
            <w:r w:rsidRPr="00AE2A33">
              <w:t xml:space="preserve"> Board.</w:t>
            </w:r>
          </w:p>
        </w:tc>
      </w:tr>
      <w:tr w:rsidR="00BC3AB0" w:rsidRPr="00AE2A33" w:rsidTr="006E6F9D">
        <w:tc>
          <w:tcPr>
            <w:tcW w:w="3397" w:type="dxa"/>
            <w:vMerge w:val="restart"/>
          </w:tcPr>
          <w:p w:rsidR="00BC3AB0" w:rsidRPr="00AE2A33" w:rsidRDefault="00BC3AB0" w:rsidP="00573DF9">
            <w:pPr>
              <w:spacing w:line="276" w:lineRule="auto"/>
              <w:rPr>
                <w:b/>
              </w:rPr>
            </w:pPr>
            <w:r w:rsidRPr="00AE2A33">
              <w:rPr>
                <w:b/>
              </w:rPr>
              <w:t xml:space="preserve">3. Develop </w:t>
            </w:r>
            <w:r w:rsidRPr="00AE2A33">
              <w:t>the organisations reputation as a socially responsible and diverse company that people want to work for and partner with.</w:t>
            </w:r>
          </w:p>
        </w:tc>
        <w:tc>
          <w:tcPr>
            <w:tcW w:w="6804" w:type="dxa"/>
          </w:tcPr>
          <w:p w:rsidR="00BC3AB0" w:rsidRPr="00AE2A33" w:rsidRDefault="00BC3AB0" w:rsidP="00573DF9">
            <w:pPr>
              <w:spacing w:line="276" w:lineRule="auto"/>
            </w:pPr>
            <w:r w:rsidRPr="00AE2A33">
              <w:t>Boost knowledge and meaningful engagement with a broader lens of society (external education/influence</w:t>
            </w:r>
            <w:r w:rsidR="00B92434">
              <w:t>).</w:t>
            </w:r>
          </w:p>
        </w:tc>
      </w:tr>
      <w:tr w:rsidR="00BC3AB0" w:rsidRPr="00AE2A33" w:rsidTr="006E6F9D">
        <w:tc>
          <w:tcPr>
            <w:tcW w:w="3397" w:type="dxa"/>
            <w:vMerge/>
          </w:tcPr>
          <w:p w:rsidR="00BC3AB0" w:rsidRPr="00AE2A33" w:rsidRDefault="00BC3AB0" w:rsidP="00573DF9">
            <w:pPr>
              <w:spacing w:line="276" w:lineRule="auto"/>
              <w:rPr>
                <w:b/>
              </w:rPr>
            </w:pPr>
          </w:p>
        </w:tc>
        <w:tc>
          <w:tcPr>
            <w:tcW w:w="6804" w:type="dxa"/>
          </w:tcPr>
          <w:p w:rsidR="00BC3AB0" w:rsidRPr="00AE2A33" w:rsidRDefault="00BC3AB0" w:rsidP="00F671B7">
            <w:pPr>
              <w:spacing w:line="276" w:lineRule="auto"/>
            </w:pPr>
            <w:r w:rsidRPr="00AE2A33">
              <w:t xml:space="preserve">Engage in outreach and partnerships with </w:t>
            </w:r>
            <w:r w:rsidR="00F671B7">
              <w:t>Aquatics GB</w:t>
            </w:r>
            <w:r w:rsidRPr="00AE2A33">
              <w:t xml:space="preserve"> to champion DEI.</w:t>
            </w:r>
          </w:p>
        </w:tc>
      </w:tr>
    </w:tbl>
    <w:p w:rsidR="001225CE" w:rsidRDefault="001225CE" w:rsidP="00573DF9">
      <w:pPr>
        <w:spacing w:line="276" w:lineRule="auto"/>
        <w:jc w:val="both"/>
      </w:pPr>
    </w:p>
    <w:p w:rsidR="001225CE" w:rsidRDefault="001225CE" w:rsidP="00573DF9">
      <w:pPr>
        <w:spacing w:line="276" w:lineRule="auto"/>
        <w:jc w:val="both"/>
      </w:pPr>
    </w:p>
    <w:p w:rsidR="001225CE" w:rsidRDefault="001225CE" w:rsidP="00573DF9">
      <w:pPr>
        <w:spacing w:line="276" w:lineRule="auto"/>
        <w:jc w:val="both"/>
      </w:pPr>
    </w:p>
    <w:p w:rsidR="001225CE" w:rsidRDefault="001225CE" w:rsidP="00573DF9">
      <w:pPr>
        <w:spacing w:line="276" w:lineRule="auto"/>
        <w:jc w:val="both"/>
      </w:pPr>
    </w:p>
    <w:p w:rsidR="00573DF9" w:rsidRDefault="00573DF9" w:rsidP="00573DF9">
      <w:pPr>
        <w:spacing w:line="276" w:lineRule="auto"/>
        <w:jc w:val="both"/>
      </w:pPr>
    </w:p>
    <w:p w:rsidR="006E6F9D" w:rsidRDefault="006E6F9D" w:rsidP="00573DF9">
      <w:pPr>
        <w:spacing w:line="276" w:lineRule="auto"/>
        <w:jc w:val="both"/>
      </w:pPr>
    </w:p>
    <w:p w:rsidR="00573DF9" w:rsidRDefault="00573DF9" w:rsidP="00573DF9">
      <w:pPr>
        <w:spacing w:line="276" w:lineRule="auto"/>
        <w:jc w:val="both"/>
      </w:pPr>
    </w:p>
    <w:p w:rsidR="00BC3AB0" w:rsidRDefault="00F671B7" w:rsidP="00573DF9">
      <w:pPr>
        <w:spacing w:line="276" w:lineRule="auto"/>
        <w:jc w:val="both"/>
      </w:pPr>
      <w:r>
        <w:lastRenderedPageBreak/>
        <w:t>Aquatics GB</w:t>
      </w:r>
      <w:r w:rsidR="00BC3AB0">
        <w:t xml:space="preserve"> DEIAP is focussed on achieving the following KPIs:</w:t>
      </w:r>
    </w:p>
    <w:p w:rsidR="00BC3AB0" w:rsidRDefault="00BC3AB0" w:rsidP="00573DF9">
      <w:pPr>
        <w:spacing w:line="276" w:lineRule="auto"/>
      </w:pPr>
    </w:p>
    <w:p w:rsidR="00BC3AB0" w:rsidRDefault="00F671B7" w:rsidP="00573DF9">
      <w:pPr>
        <w:pStyle w:val="ListParagraph"/>
        <w:numPr>
          <w:ilvl w:val="0"/>
          <w:numId w:val="2"/>
        </w:numPr>
        <w:spacing w:line="276" w:lineRule="auto"/>
        <w:jc w:val="both"/>
      </w:pPr>
      <w:r>
        <w:t>Aquatics GB</w:t>
      </w:r>
      <w:r w:rsidR="00BC3AB0">
        <w:t xml:space="preserve"> will have a fully diverse Board that is representative of national benchmarks from the 2021 Census and internal data, with targets for women (50%), people with a disability (min. 17%), those from ethnically diverse backgrounds (min. 18%) and LGB+ (min. 3%) by 2028.</w:t>
      </w:r>
    </w:p>
    <w:p w:rsidR="00BC3AB0" w:rsidRDefault="00BC3AB0" w:rsidP="00573DF9">
      <w:pPr>
        <w:pStyle w:val="ListParagraph"/>
        <w:spacing w:line="276" w:lineRule="auto"/>
        <w:jc w:val="both"/>
      </w:pPr>
    </w:p>
    <w:p w:rsidR="00BC3AB0" w:rsidRDefault="00BC3AB0" w:rsidP="00573DF9">
      <w:pPr>
        <w:pStyle w:val="ListParagraph"/>
        <w:numPr>
          <w:ilvl w:val="0"/>
          <w:numId w:val="2"/>
        </w:numPr>
        <w:spacing w:line="276" w:lineRule="auto"/>
        <w:jc w:val="both"/>
      </w:pPr>
      <w:r>
        <w:t>We will grow awareness and understanding of benefits diversity and inclusion in the workplace has through training for all staff. This includes unconscious bias training, recruitment and selection training for all hiring managers, best practice for engaging with those living with a disability for all staff and Communications team training to engage with diverse backgrounds on our internal and external platforms by December 2024.</w:t>
      </w:r>
    </w:p>
    <w:p w:rsidR="00BC3AB0" w:rsidRDefault="00BC3AB0" w:rsidP="00573DF9">
      <w:pPr>
        <w:pStyle w:val="ListParagraph"/>
        <w:spacing w:line="276" w:lineRule="auto"/>
      </w:pPr>
    </w:p>
    <w:p w:rsidR="00BC3AB0" w:rsidRDefault="00BC3AB0" w:rsidP="00573DF9">
      <w:pPr>
        <w:pStyle w:val="ListParagraph"/>
        <w:numPr>
          <w:ilvl w:val="0"/>
          <w:numId w:val="2"/>
        </w:numPr>
        <w:spacing w:line="276" w:lineRule="auto"/>
        <w:jc w:val="both"/>
      </w:pPr>
      <w:r>
        <w:t xml:space="preserve">We will create and grow a Diversity Equity &amp; Inclusion Advisory Group (DEIAG), reporting directly to </w:t>
      </w:r>
      <w:r w:rsidR="00F671B7">
        <w:t>Aquatics GB</w:t>
      </w:r>
      <w:r>
        <w:t xml:space="preserve"> Board to provide advice and guidance on all aspects of DEI by December 2024.</w:t>
      </w:r>
    </w:p>
    <w:p w:rsidR="00BC3AB0" w:rsidRDefault="00BC3AB0" w:rsidP="00573DF9">
      <w:pPr>
        <w:pStyle w:val="ListParagraph"/>
        <w:spacing w:line="276" w:lineRule="auto"/>
      </w:pPr>
    </w:p>
    <w:p w:rsidR="00BC3AB0" w:rsidRDefault="00BC3AB0" w:rsidP="00573DF9">
      <w:pPr>
        <w:pStyle w:val="ListParagraph"/>
        <w:numPr>
          <w:ilvl w:val="0"/>
          <w:numId w:val="2"/>
        </w:numPr>
        <w:spacing w:line="276" w:lineRule="auto"/>
        <w:jc w:val="both"/>
      </w:pPr>
      <w:r>
        <w:t>From the start of the DEIAP, we will obtain more in-depth and qualitative data to inform decision making and provide appropriate follow-up for staff/athlete responses.</w:t>
      </w:r>
    </w:p>
    <w:p w:rsidR="00BC3AB0" w:rsidRDefault="00BC3AB0" w:rsidP="00573DF9">
      <w:pPr>
        <w:spacing w:line="276" w:lineRule="auto"/>
      </w:pPr>
    </w:p>
    <w:p w:rsidR="00BC3AB0" w:rsidRDefault="00F671B7" w:rsidP="00573DF9">
      <w:pPr>
        <w:spacing w:line="276" w:lineRule="auto"/>
        <w:jc w:val="both"/>
        <w:rPr>
          <w:b/>
          <w:sz w:val="32"/>
        </w:rPr>
      </w:pPr>
      <w:r>
        <w:rPr>
          <w:b/>
          <w:sz w:val="32"/>
        </w:rPr>
        <w:t>Aquatics GB</w:t>
      </w:r>
      <w:r w:rsidR="00BC3AB0">
        <w:rPr>
          <w:b/>
          <w:sz w:val="32"/>
        </w:rPr>
        <w:t xml:space="preserve"> commitment:  </w:t>
      </w:r>
    </w:p>
    <w:p w:rsidR="00BC3AB0" w:rsidRDefault="00BC3AB0" w:rsidP="00573DF9">
      <w:pPr>
        <w:pStyle w:val="ListParagraph"/>
        <w:numPr>
          <w:ilvl w:val="0"/>
          <w:numId w:val="4"/>
        </w:numPr>
        <w:spacing w:line="276" w:lineRule="auto"/>
        <w:jc w:val="both"/>
      </w:pPr>
      <w:r>
        <w:t>A greater accountability for the organisation to be reflective of workforce being more representative of society.</w:t>
      </w:r>
    </w:p>
    <w:p w:rsidR="00BC3AB0" w:rsidRDefault="00BC3AB0" w:rsidP="00573DF9">
      <w:pPr>
        <w:pStyle w:val="ListParagraph"/>
        <w:spacing w:line="276" w:lineRule="auto"/>
        <w:jc w:val="both"/>
      </w:pPr>
    </w:p>
    <w:p w:rsidR="00BC3AB0" w:rsidRDefault="00BC3AB0" w:rsidP="00573DF9">
      <w:pPr>
        <w:pStyle w:val="ListParagraph"/>
        <w:numPr>
          <w:ilvl w:val="0"/>
          <w:numId w:val="4"/>
        </w:numPr>
        <w:spacing w:line="276" w:lineRule="auto"/>
        <w:jc w:val="both"/>
      </w:pPr>
      <w:r>
        <w:t xml:space="preserve">A more diverse leadership and board membership that’s representative of society.  </w:t>
      </w:r>
    </w:p>
    <w:p w:rsidR="00BC3AB0" w:rsidRDefault="00BC3AB0" w:rsidP="00573DF9">
      <w:pPr>
        <w:pStyle w:val="ListParagraph"/>
        <w:spacing w:line="276" w:lineRule="auto"/>
      </w:pPr>
    </w:p>
    <w:p w:rsidR="00BC3AB0" w:rsidRDefault="00BC3AB0" w:rsidP="00573DF9">
      <w:pPr>
        <w:pStyle w:val="ListParagraph"/>
        <w:numPr>
          <w:ilvl w:val="0"/>
          <w:numId w:val="4"/>
        </w:numPr>
        <w:spacing w:line="276" w:lineRule="auto"/>
        <w:jc w:val="both"/>
      </w:pPr>
      <w:r>
        <w:t xml:space="preserve">Holding the organisation accountable to its targets in relation to DEI, annual updates and reporting on small, medium and long-term markers. </w:t>
      </w:r>
    </w:p>
    <w:p w:rsidR="00BC3AB0" w:rsidRDefault="00BC3AB0" w:rsidP="00573DF9">
      <w:pPr>
        <w:spacing w:line="276" w:lineRule="auto"/>
        <w:jc w:val="both"/>
      </w:pPr>
    </w:p>
    <w:p w:rsidR="00BC3AB0" w:rsidRPr="00AE2A33" w:rsidRDefault="00BC3AB0" w:rsidP="00573DF9">
      <w:pPr>
        <w:spacing w:line="276" w:lineRule="auto"/>
        <w:jc w:val="both"/>
        <w:rPr>
          <w:b/>
          <w:sz w:val="32"/>
        </w:rPr>
      </w:pPr>
      <w:r w:rsidRPr="00AE2A33">
        <w:rPr>
          <w:b/>
          <w:sz w:val="32"/>
        </w:rPr>
        <w:t>Demonstrating Change, Being Accountable</w:t>
      </w:r>
    </w:p>
    <w:p w:rsidR="00BC3AB0" w:rsidRDefault="00BC3AB0" w:rsidP="00573DF9">
      <w:pPr>
        <w:pStyle w:val="Introduction"/>
        <w:jc w:val="both"/>
        <w:rPr>
          <w:b w:val="0"/>
          <w:sz w:val="24"/>
          <w:szCs w:val="24"/>
        </w:rPr>
      </w:pPr>
      <w:r w:rsidRPr="001026D1">
        <w:rPr>
          <w:b w:val="0"/>
          <w:sz w:val="24"/>
          <w:szCs w:val="24"/>
        </w:rPr>
        <w:t xml:space="preserve">Accomplishing diverse and inclusive methods of working across the </w:t>
      </w:r>
      <w:r w:rsidR="00F671B7">
        <w:rPr>
          <w:b w:val="0"/>
          <w:sz w:val="24"/>
          <w:szCs w:val="24"/>
        </w:rPr>
        <w:t>Aquatics GB</w:t>
      </w:r>
      <w:r w:rsidRPr="001026D1">
        <w:rPr>
          <w:b w:val="0"/>
          <w:sz w:val="24"/>
          <w:szCs w:val="24"/>
        </w:rPr>
        <w:t xml:space="preserve"> Board and senior leadership team requires policies that recognise and decrease barriers and bias in the organisation, predominantly through areas of hiring, promotion and development. It is a key function of the Board to check and challenge the organisation and ensure members in senior leadership positions are held to account in their ongoing application of such methods. To achieve this, the Board (with advice from a Diversity, Equity &amp; Inclusion Advisory Group) will review progress measured against the DEIAP annually alongside data analysis from the DEI Survey.</w:t>
      </w:r>
    </w:p>
    <w:p w:rsidR="00BC3AB0" w:rsidRDefault="00BC3AB0" w:rsidP="00BC3AB0">
      <w:pPr>
        <w:spacing w:after="160" w:line="259" w:lineRule="auto"/>
        <w:rPr>
          <w:szCs w:val="24"/>
        </w:rPr>
      </w:pPr>
      <w:r>
        <w:rPr>
          <w:b/>
          <w:szCs w:val="24"/>
        </w:rPr>
        <w:br w:type="page"/>
      </w:r>
    </w:p>
    <w:p w:rsidR="00BC3AB0" w:rsidRPr="001026D1" w:rsidRDefault="00BC3AB0" w:rsidP="00BC3AB0">
      <w:pPr>
        <w:spacing w:line="360" w:lineRule="auto"/>
        <w:jc w:val="both"/>
        <w:rPr>
          <w:b/>
          <w:sz w:val="32"/>
        </w:rPr>
      </w:pPr>
      <w:r w:rsidRPr="001026D1">
        <w:rPr>
          <w:b/>
          <w:sz w:val="32"/>
        </w:rPr>
        <w:lastRenderedPageBreak/>
        <w:t xml:space="preserve">Governance Structure of DEI in </w:t>
      </w:r>
      <w:r w:rsidR="00F671B7">
        <w:rPr>
          <w:b/>
          <w:sz w:val="32"/>
        </w:rPr>
        <w:t>Aquatics GB</w:t>
      </w:r>
    </w:p>
    <w:p w:rsidR="00BC3AB0" w:rsidRDefault="00BC3AB0" w:rsidP="00BC3AB0">
      <w:pPr>
        <w:spacing w:line="276" w:lineRule="auto"/>
        <w:jc w:val="both"/>
        <w:rPr>
          <w:rFonts w:ascii="Arial" w:hAnsi="Arial" w:cs="Arial"/>
          <w:color w:val="006680" w:themeColor="accent1" w:themeShade="80"/>
        </w:rPr>
      </w:pPr>
    </w:p>
    <w:p w:rsidR="00BC3AB0" w:rsidRDefault="00BC3AB0" w:rsidP="00BC3AB0"/>
    <w:p w:rsidR="00BC3AB0" w:rsidRDefault="00BC3AB0" w:rsidP="00BC3AB0">
      <w:pPr>
        <w:spacing w:line="276" w:lineRule="auto"/>
        <w:jc w:val="both"/>
        <w:rPr>
          <w:rFonts w:ascii="Arial" w:hAnsi="Arial"/>
          <w:color w:val="006680" w:themeColor="accent1" w:themeShade="80"/>
          <w:sz w:val="20"/>
          <w:szCs w:val="21"/>
        </w:rPr>
      </w:pPr>
    </w:p>
    <w:p w:rsidR="00BC3AB0" w:rsidRDefault="00BC3AB0" w:rsidP="00BC3AB0">
      <w:pPr>
        <w:spacing w:line="276" w:lineRule="auto"/>
        <w:jc w:val="both"/>
        <w:rPr>
          <w:rFonts w:ascii="Arial" w:hAnsi="Arial"/>
          <w:color w:val="006680" w:themeColor="accent1" w:themeShade="80"/>
          <w:sz w:val="20"/>
          <w:szCs w:val="21"/>
        </w:rPr>
      </w:pPr>
      <w:r>
        <w:rPr>
          <w:noProof/>
          <w:lang w:eastAsia="en-GB"/>
        </w:rPr>
        <mc:AlternateContent>
          <mc:Choice Requires="wpg">
            <w:drawing>
              <wp:anchor distT="0" distB="0" distL="114300" distR="114300" simplePos="0" relativeHeight="251659264" behindDoc="0" locked="0" layoutInCell="1" allowOverlap="1" wp14:anchorId="3AF655AD" wp14:editId="17419CFA">
                <wp:simplePos x="0" y="0"/>
                <wp:positionH relativeFrom="column">
                  <wp:posOffset>-16933</wp:posOffset>
                </wp:positionH>
                <wp:positionV relativeFrom="paragraph">
                  <wp:posOffset>162983</wp:posOffset>
                </wp:positionV>
                <wp:extent cx="6219644" cy="4787553"/>
                <wp:effectExtent l="0" t="0" r="10160" b="13335"/>
                <wp:wrapNone/>
                <wp:docPr id="11" name="Group 11"/>
                <wp:cNvGraphicFramePr/>
                <a:graphic xmlns:a="http://schemas.openxmlformats.org/drawingml/2006/main">
                  <a:graphicData uri="http://schemas.microsoft.com/office/word/2010/wordprocessingGroup">
                    <wpg:wgp>
                      <wpg:cNvGrpSpPr/>
                      <wpg:grpSpPr>
                        <a:xfrm>
                          <a:off x="0" y="0"/>
                          <a:ext cx="6219644" cy="4787553"/>
                          <a:chOff x="0" y="0"/>
                          <a:chExt cx="6219644" cy="4787553"/>
                        </a:xfrm>
                      </wpg:grpSpPr>
                      <wpg:grpSp>
                        <wpg:cNvPr id="12" name="Group 12"/>
                        <wpg:cNvGrpSpPr/>
                        <wpg:grpSpPr>
                          <a:xfrm>
                            <a:off x="2074333" y="2506134"/>
                            <a:ext cx="1906270" cy="931545"/>
                            <a:chOff x="0" y="0"/>
                            <a:chExt cx="1906270" cy="931545"/>
                          </a:xfrm>
                        </wpg:grpSpPr>
                        <wps:wsp>
                          <wps:cNvPr id="13" name="Rectangle 13"/>
                          <wps:cNvSpPr/>
                          <wps:spPr>
                            <a:xfrm>
                              <a:off x="0" y="0"/>
                              <a:ext cx="1906270" cy="93154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67733" y="137995"/>
                              <a:ext cx="1776886" cy="793545"/>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Executive Director of Business Affairs &amp; General Counsel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0" y="0"/>
                            <a:ext cx="6219644" cy="4787553"/>
                            <a:chOff x="0" y="0"/>
                            <a:chExt cx="6219644" cy="4787553"/>
                          </a:xfrm>
                        </wpg:grpSpPr>
                        <wpg:grpSp>
                          <wpg:cNvPr id="16" name="Group 16"/>
                          <wpg:cNvGrpSpPr/>
                          <wpg:grpSpPr>
                            <a:xfrm>
                              <a:off x="879894" y="3856008"/>
                              <a:ext cx="1906270" cy="931545"/>
                              <a:chOff x="0" y="0"/>
                              <a:chExt cx="1906437" cy="931653"/>
                            </a:xfrm>
                          </wpg:grpSpPr>
                          <wps:wsp>
                            <wps:cNvPr id="17" name="Rectangle 17"/>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68993" y="224287"/>
                                <a:ext cx="1777042" cy="629629"/>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Senior Management Team DEI Champion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a:off x="1164566" y="3502325"/>
                              <a:ext cx="172133" cy="30142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2294626" y="3502325"/>
                              <a:ext cx="180340" cy="31051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3390181" y="3510951"/>
                              <a:ext cx="241540" cy="3009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0"/>
                              <a:ext cx="6219644" cy="4785114"/>
                              <a:chOff x="0" y="0"/>
                              <a:chExt cx="6219644" cy="4785114"/>
                            </a:xfrm>
                          </wpg:grpSpPr>
                          <wpg:grpSp>
                            <wpg:cNvPr id="23" name="Group 23"/>
                            <wpg:cNvGrpSpPr/>
                            <wpg:grpSpPr>
                              <a:xfrm>
                                <a:off x="3390181" y="3847381"/>
                                <a:ext cx="1983907" cy="937733"/>
                                <a:chOff x="0" y="0"/>
                                <a:chExt cx="1906437" cy="937733"/>
                              </a:xfrm>
                            </wpg:grpSpPr>
                            <wps:wsp>
                              <wps:cNvPr id="24" name="Rectangle 24"/>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68999" y="144096"/>
                                  <a:ext cx="1777042" cy="793637"/>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Diversity, Inclusion &amp; Social Responsibility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 name="Group 26"/>
                            <wpg:cNvGrpSpPr/>
                            <wpg:grpSpPr>
                              <a:xfrm>
                                <a:off x="4313207" y="2518914"/>
                                <a:ext cx="1906437" cy="931653"/>
                                <a:chOff x="0" y="0"/>
                                <a:chExt cx="1906437" cy="931653"/>
                              </a:xfrm>
                            </wpg:grpSpPr>
                            <wps:wsp>
                              <wps:cNvPr id="27" name="Rectangle 27"/>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68673" y="149319"/>
                                  <a:ext cx="1777042" cy="769437"/>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Diversity, Equity &amp; Inclusion Advisory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 name="Straight Arrow Connector 29"/>
                            <wps:cNvCnPr/>
                            <wps:spPr>
                              <a:xfrm flipH="1">
                                <a:off x="4986068" y="3485072"/>
                                <a:ext cx="172528" cy="3096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520241" y="2191110"/>
                                <a:ext cx="172349" cy="26622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31" name="Group 31"/>
                            <wpg:cNvGrpSpPr/>
                            <wpg:grpSpPr>
                              <a:xfrm>
                                <a:off x="0" y="0"/>
                                <a:ext cx="5270739" cy="3450567"/>
                                <a:chOff x="0" y="0"/>
                                <a:chExt cx="5270739" cy="3450567"/>
                              </a:xfrm>
                            </wpg:grpSpPr>
                            <wpg:grpSp>
                              <wpg:cNvPr id="32" name="Group 32"/>
                              <wpg:cNvGrpSpPr/>
                              <wpg:grpSpPr>
                                <a:xfrm>
                                  <a:off x="2199736" y="0"/>
                                  <a:ext cx="1906270" cy="931545"/>
                                  <a:chOff x="0" y="0"/>
                                  <a:chExt cx="1906437" cy="931653"/>
                                </a:xfrm>
                              </wpg:grpSpPr>
                              <wps:wsp>
                                <wps:cNvPr id="33" name="Rectangle 33"/>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69011" y="298822"/>
                                    <a:ext cx="1777042" cy="517585"/>
                                  </a:xfrm>
                                  <a:prstGeom prst="rect">
                                    <a:avLst/>
                                  </a:prstGeom>
                                  <a:noFill/>
                                  <a:ln w="6350">
                                    <a:noFill/>
                                  </a:ln>
                                </wps:spPr>
                                <wps:txbx>
                                  <w:txbxContent>
                                    <w:p w:rsidR="006E6F9D" w:rsidRPr="001026D1" w:rsidRDefault="006E6F9D" w:rsidP="00BC3AB0">
                                      <w:pPr>
                                        <w:jc w:val="center"/>
                                        <w:rPr>
                                          <w:rFonts w:cstheme="minorHAnsi"/>
                                          <w:b/>
                                        </w:rPr>
                                      </w:pPr>
                                      <w:r>
                                        <w:rPr>
                                          <w:rFonts w:cstheme="minorHAnsi"/>
                                          <w:b/>
                                        </w:rPr>
                                        <w:t>Aquatics GB</w:t>
                                      </w:r>
                                      <w:r w:rsidRPr="001026D1">
                                        <w:rPr>
                                          <w:rFonts w:cstheme="minorHAnsi"/>
                                          <w:b/>
                                        </w:rPr>
                                        <w:t xml:space="preserve">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oup 35"/>
                              <wpg:cNvGrpSpPr/>
                              <wpg:grpSpPr>
                                <a:xfrm>
                                  <a:off x="879894" y="1155940"/>
                                  <a:ext cx="1906437" cy="931653"/>
                                  <a:chOff x="0" y="0"/>
                                  <a:chExt cx="1906437" cy="931653"/>
                                </a:xfrm>
                              </wpg:grpSpPr>
                              <wps:wsp>
                                <wps:cNvPr id="36" name="Rectangle 36"/>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69011" y="347795"/>
                                    <a:ext cx="1777042" cy="370853"/>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 name="Group 38"/>
                              <wpg:cNvGrpSpPr/>
                              <wpg:grpSpPr>
                                <a:xfrm>
                                  <a:off x="3364302" y="1147314"/>
                                  <a:ext cx="1906437" cy="931653"/>
                                  <a:chOff x="0" y="0"/>
                                  <a:chExt cx="1906437" cy="931653"/>
                                </a:xfrm>
                              </wpg:grpSpPr>
                              <wps:wsp>
                                <wps:cNvPr id="39" name="Rectangle 39"/>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68742" y="270848"/>
                                    <a:ext cx="1777042" cy="465717"/>
                                  </a:xfrm>
                                  <a:prstGeom prst="rect">
                                    <a:avLst/>
                                  </a:prstGeom>
                                  <a:noFill/>
                                  <a:ln w="6350">
                                    <a:noFill/>
                                  </a:ln>
                                </wps:spPr>
                                <wps:txbx>
                                  <w:txbxContent>
                                    <w:p w:rsidR="006E6F9D" w:rsidRPr="001026D1" w:rsidRDefault="006E6F9D" w:rsidP="00BC3AB0">
                                      <w:pPr>
                                        <w:jc w:val="center"/>
                                        <w:rPr>
                                          <w:rFonts w:cstheme="minorHAnsi"/>
                                          <w:b/>
                                        </w:rPr>
                                      </w:pPr>
                                      <w:r>
                                        <w:rPr>
                                          <w:rFonts w:cstheme="minorHAnsi"/>
                                          <w:b/>
                                        </w:rPr>
                                        <w:t>Aquatics GB</w:t>
                                      </w:r>
                                      <w:r w:rsidRPr="001026D1">
                                        <w:rPr>
                                          <w:rFonts w:cstheme="minorHAnsi"/>
                                          <w:b/>
                                        </w:rPr>
                                        <w:t xml:space="preserve"> DEI Board Champion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 name="Group 41"/>
                              <wpg:cNvGrpSpPr/>
                              <wpg:grpSpPr>
                                <a:xfrm>
                                  <a:off x="0" y="2518914"/>
                                  <a:ext cx="1906437" cy="931653"/>
                                  <a:chOff x="0" y="0"/>
                                  <a:chExt cx="1906437" cy="931653"/>
                                </a:xfrm>
                              </wpg:grpSpPr>
                              <wps:wsp>
                                <wps:cNvPr id="42" name="Rectangle 42"/>
                                <wps:cNvSpPr/>
                                <wps:spPr>
                                  <a:xfrm>
                                    <a:off x="0" y="0"/>
                                    <a:ext cx="1906437" cy="93165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68993" y="224287"/>
                                    <a:ext cx="1777042" cy="629629"/>
                                  </a:xfrm>
                                  <a:prstGeom prst="rect">
                                    <a:avLst/>
                                  </a:prstGeom>
                                  <a:noFill/>
                                  <a:ln w="6350">
                                    <a:noFill/>
                                  </a:ln>
                                </wps:spPr>
                                <wps:txbx>
                                  <w:txbxContent>
                                    <w:p w:rsidR="006E6F9D" w:rsidRPr="001026D1" w:rsidRDefault="006E6F9D" w:rsidP="00BC3AB0">
                                      <w:pPr>
                                        <w:jc w:val="center"/>
                                        <w:rPr>
                                          <w:rFonts w:cstheme="minorHAnsi"/>
                                          <w:b/>
                                        </w:rPr>
                                      </w:pPr>
                                      <w:r w:rsidRPr="001026D1">
                                        <w:rPr>
                                          <w:rFonts w:cstheme="minorHAnsi"/>
                                          <w:b/>
                                        </w:rPr>
                                        <w:t>Senior Management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Straight Arrow Connector 44"/>
                              <wps:cNvCnPr/>
                              <wps:spPr>
                                <a:xfrm flipH="1">
                                  <a:off x="1069675" y="2165230"/>
                                  <a:ext cx="137998" cy="29269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2855135" y="2156474"/>
                                  <a:ext cx="329325" cy="31855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4183811" y="733246"/>
                                  <a:ext cx="284085" cy="38628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flipH="1">
                                  <a:off x="1880558" y="698740"/>
                                  <a:ext cx="255270" cy="3860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48" name="Straight Connector 48"/>
                            <wps:cNvCnPr/>
                            <wps:spPr>
                              <a:xfrm flipH="1">
                                <a:off x="4123426" y="2156604"/>
                                <a:ext cx="0" cy="1621155"/>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g:grpSp>
                        <wps:wsp>
                          <wps:cNvPr id="49" name="Straight Arrow Connector 49"/>
                          <wps:cNvCnPr/>
                          <wps:spPr>
                            <a:xfrm>
                              <a:off x="2855343" y="4304581"/>
                              <a:ext cx="50882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AF655AD" id="Group 11" o:spid="_x0000_s1026" style="position:absolute;left:0;text-align:left;margin-left:-1.35pt;margin-top:12.85pt;width:489.75pt;height:376.95pt;z-index:251659264" coordsize="62196,4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">
                <v:group id="Group 12" o:spid="_x0000_s1027" style="position:absolute;left:20743;top:25061;width:19063;height:9315" coordsize="19062,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28" style="position:absolute;width:19062;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" fillcolor="#66e1ff [1940]" strokecolor="#00667f [1604]" strokeweight="1pt"/>
                  <v:shapetype id="_x0000_t202" coordsize="21600,21600" o:spt="202" path="m,l,21600r21600,l21600,xe">
                    <v:stroke joinstyle="miter"/>
                    <v:path gradientshapeok="t" o:connecttype="rect"/>
                  </v:shapetype>
                  <v:shape id="Text Box 14" o:spid="_x0000_s1029" type="#_x0000_t202" style="position:absolute;left:677;top:1379;width:17769;height:7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6E6F9D" w:rsidRPr="001026D1" w:rsidRDefault="006E6F9D" w:rsidP="00BC3AB0">
                          <w:pPr>
                            <w:jc w:val="center"/>
                            <w:rPr>
                              <w:rFonts w:cstheme="minorHAnsi"/>
                              <w:b/>
                            </w:rPr>
                          </w:pPr>
                          <w:r w:rsidRPr="001026D1">
                            <w:rPr>
                              <w:rFonts w:cstheme="minorHAnsi"/>
                              <w:b/>
                            </w:rPr>
                            <w:t>Executive Director of Business Affairs &amp; General Counsel</w:t>
                          </w:r>
                        </w:p>
                      </w:txbxContent>
                    </v:textbox>
                  </v:shape>
                </v:group>
                <v:group id="Group 15" o:spid="_x0000_s1030" style="position:absolute;width:62196;height:47875" coordsize="62196,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31" style="position:absolute;left:8798;top:38560;width:19063;height:9315"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32"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" fillcolor="#66e1ff [1940]" strokecolor="#00667f [1604]" strokeweight="1pt"/>
                    <v:shape id="Text Box 18" o:spid="_x0000_s1033" type="#_x0000_t202" style="position:absolute;left:689;top:2242;width:17771;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6E6F9D" w:rsidRPr="001026D1" w:rsidRDefault="006E6F9D" w:rsidP="00BC3AB0">
                            <w:pPr>
                              <w:jc w:val="center"/>
                              <w:rPr>
                                <w:rFonts w:cstheme="minorHAnsi"/>
                                <w:b/>
                              </w:rPr>
                            </w:pPr>
                            <w:r w:rsidRPr="001026D1">
                              <w:rPr>
                                <w:rFonts w:cstheme="minorHAnsi"/>
                                <w:b/>
                              </w:rPr>
                              <w:t>Senior Management Team DEI Champion</w:t>
                            </w:r>
                          </w:p>
                        </w:txbxContent>
                      </v:textbox>
                    </v:shape>
                  </v:group>
                  <v:shapetype id="_x0000_t32" coordsize="21600,21600" o:spt="32" o:oned="t" path="m,l21600,21600e" filled="f">
                    <v:path arrowok="t" fillok="f" o:connecttype="none"/>
                    <o:lock v:ext="edit" shapetype="t"/>
                  </v:shapetype>
                  <v:shape id="Straight Arrow Connector 19" o:spid="_x0000_s1034" type="#_x0000_t32" style="position:absolute;left:11645;top:35023;width:1721;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" strokecolor="#00cdff [3204]" strokeweight=".5pt">
                    <v:stroke startarrow="block" endarrow="block" joinstyle="miter"/>
                  </v:shape>
                  <v:shape id="Straight Arrow Connector 20" o:spid="_x0000_s1035" type="#_x0000_t32" style="position:absolute;left:22946;top:35023;width:1803;height:3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" strokecolor="#00cdff [3204]" strokeweight=".5pt">
                    <v:stroke startarrow="block" endarrow="block" joinstyle="miter"/>
                  </v:shape>
                  <v:shape id="Straight Arrow Connector 21" o:spid="_x0000_s1036" type="#_x0000_t32" style="position:absolute;left:33901;top:35109;width:2416;height: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" strokecolor="#00cdff [3204]" strokeweight=".5pt">
                    <v:stroke startarrow="block" endarrow="block" joinstyle="miter"/>
                  </v:shape>
                  <v:group id="Group 22" o:spid="_x0000_s1037" style="position:absolute;width:62196;height:47851" coordsize="62196,4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38" style="position:absolute;left:33901;top:38473;width:19839;height:9378" coordsize="1906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39"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" fillcolor="#66e1ff [1940]" strokecolor="#00667f [1604]" strokeweight="1pt"/>
                      <v:shape id="Text Box 25" o:spid="_x0000_s1040" type="#_x0000_t202" style="position:absolute;left:689;top:1440;width:17771;height:7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6E6F9D" w:rsidRPr="001026D1" w:rsidRDefault="006E6F9D" w:rsidP="00BC3AB0">
                              <w:pPr>
                                <w:jc w:val="center"/>
                                <w:rPr>
                                  <w:rFonts w:cstheme="minorHAnsi"/>
                                  <w:b/>
                                </w:rPr>
                              </w:pPr>
                              <w:r w:rsidRPr="001026D1">
                                <w:rPr>
                                  <w:rFonts w:cstheme="minorHAnsi"/>
                                  <w:b/>
                                </w:rPr>
                                <w:t>Diversity, Inclusion &amp; Social Responsibility Manager</w:t>
                              </w:r>
                            </w:p>
                          </w:txbxContent>
                        </v:textbox>
                      </v:shape>
                    </v:group>
                    <v:group id="Group 26" o:spid="_x0000_s1041" style="position:absolute;left:43132;top:25189;width:19064;height:9316"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42"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" fillcolor="#66e1ff [1940]" strokecolor="#00667f [1604]" strokeweight="1pt"/>
                      <v:shape id="Text Box 28" o:spid="_x0000_s1043" type="#_x0000_t202" style="position:absolute;left:686;top:1493;width:17771;height:7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6E6F9D" w:rsidRPr="001026D1" w:rsidRDefault="006E6F9D" w:rsidP="00BC3AB0">
                              <w:pPr>
                                <w:jc w:val="center"/>
                                <w:rPr>
                                  <w:rFonts w:cstheme="minorHAnsi"/>
                                  <w:b/>
                                </w:rPr>
                              </w:pPr>
                              <w:r w:rsidRPr="001026D1">
                                <w:rPr>
                                  <w:rFonts w:cstheme="minorHAnsi"/>
                                  <w:b/>
                                </w:rPr>
                                <w:t>Diversity, Equity &amp; Inclusion Advisory Group</w:t>
                              </w:r>
                            </w:p>
                          </w:txbxContent>
                        </v:textbox>
                      </v:shape>
                    </v:group>
                    <v:shape id="Straight Arrow Connector 29" o:spid="_x0000_s1044" type="#_x0000_t32" style="position:absolute;left:49860;top:34850;width:1725;height:3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" strokecolor="#00cdff [3204]" strokeweight=".5pt">
                      <v:stroke startarrow="block" endarrow="block" joinstyle="miter"/>
                    </v:shape>
                    <v:shape id="Straight Arrow Connector 30" o:spid="_x0000_s1045" type="#_x0000_t32" style="position:absolute;left:45202;top:21911;width:1723;height:2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" strokecolor="#00cdff [3204]" strokeweight=".5pt">
                      <v:stroke startarrow="block" endarrow="block" joinstyle="miter"/>
                    </v:shape>
                    <v:group id="Group 31" o:spid="_x0000_s1046" style="position:absolute;width:52707;height:34505" coordsize="52707,3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2" o:spid="_x0000_s1047" style="position:absolute;left:21997;width:19063;height:9315"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48"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" fillcolor="#66e1ff [1940]" strokecolor="#00667f [1604]" strokeweight="1pt"/>
                        <v:shape id="Text Box 34" o:spid="_x0000_s1049" type="#_x0000_t202" style="position:absolute;left:690;top:2988;width:17770;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6E6F9D" w:rsidRPr="001026D1" w:rsidRDefault="006E6F9D" w:rsidP="00BC3AB0">
                                <w:pPr>
                                  <w:jc w:val="center"/>
                                  <w:rPr>
                                    <w:rFonts w:cstheme="minorHAnsi"/>
                                    <w:b/>
                                  </w:rPr>
                                </w:pPr>
                                <w:r>
                                  <w:rPr>
                                    <w:rFonts w:cstheme="minorHAnsi"/>
                                    <w:b/>
                                  </w:rPr>
                                  <w:t>Aquatics GB</w:t>
                                </w:r>
                                <w:r w:rsidRPr="001026D1">
                                  <w:rPr>
                                    <w:rFonts w:cstheme="minorHAnsi"/>
                                    <w:b/>
                                  </w:rPr>
                                  <w:t xml:space="preserve"> Board</w:t>
                                </w:r>
                              </w:p>
                            </w:txbxContent>
                          </v:textbox>
                        </v:shape>
                      </v:group>
                      <v:group id="Group 35" o:spid="_x0000_s1050" style="position:absolute;left:8798;top:11559;width:19065;height:9316"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51"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" fillcolor="#66e1ff [1940]" strokecolor="#00667f [1604]" strokeweight="1pt"/>
                        <v:shape id="Text Box 37" o:spid="_x0000_s1052" type="#_x0000_t202" style="position:absolute;left:690;top:3477;width:1777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6E6F9D" w:rsidRPr="001026D1" w:rsidRDefault="006E6F9D" w:rsidP="00BC3AB0">
                                <w:pPr>
                                  <w:jc w:val="center"/>
                                  <w:rPr>
                                    <w:rFonts w:cstheme="minorHAnsi"/>
                                    <w:b/>
                                  </w:rPr>
                                </w:pPr>
                                <w:r w:rsidRPr="001026D1">
                                  <w:rPr>
                                    <w:rFonts w:cstheme="minorHAnsi"/>
                                    <w:b/>
                                  </w:rPr>
                                  <w:t>CEO</w:t>
                                </w:r>
                              </w:p>
                            </w:txbxContent>
                          </v:textbox>
                        </v:shape>
                      </v:group>
                      <v:group id="Group 38" o:spid="_x0000_s1053" style="position:absolute;left:33643;top:11473;width:19064;height:9316"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54"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" fillcolor="#66e1ff [1940]" strokecolor="#00667f [1604]" strokeweight="1pt"/>
                        <v:shape id="Text Box 40" o:spid="_x0000_s1055" type="#_x0000_t202" style="position:absolute;left:687;top:2708;width:17770;height:4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6E6F9D" w:rsidRPr="001026D1" w:rsidRDefault="006E6F9D" w:rsidP="00BC3AB0">
                                <w:pPr>
                                  <w:jc w:val="center"/>
                                  <w:rPr>
                                    <w:rFonts w:cstheme="minorHAnsi"/>
                                    <w:b/>
                                  </w:rPr>
                                </w:pPr>
                                <w:r>
                                  <w:rPr>
                                    <w:rFonts w:cstheme="minorHAnsi"/>
                                    <w:b/>
                                  </w:rPr>
                                  <w:t>Aquatics GB</w:t>
                                </w:r>
                                <w:r w:rsidRPr="001026D1">
                                  <w:rPr>
                                    <w:rFonts w:cstheme="minorHAnsi"/>
                                    <w:b/>
                                  </w:rPr>
                                  <w:t xml:space="preserve"> DEI Board Champion</w:t>
                                </w:r>
                              </w:p>
                            </w:txbxContent>
                          </v:textbox>
                        </v:shape>
                      </v:group>
                      <v:group id="Group 41" o:spid="_x0000_s1056" style="position:absolute;top:25189;width:19064;height:9316" coordsize="19064,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57" style="position:absolute;width:19064;height:9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" fillcolor="#66e1ff [1940]" strokecolor="#00667f [1604]" strokeweight="1pt"/>
                        <v:shape id="Text Box 43" o:spid="_x0000_s1058" type="#_x0000_t202" style="position:absolute;left:689;top:2242;width:17771;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6E6F9D" w:rsidRPr="001026D1" w:rsidRDefault="006E6F9D" w:rsidP="00BC3AB0">
                                <w:pPr>
                                  <w:jc w:val="center"/>
                                  <w:rPr>
                                    <w:rFonts w:cstheme="minorHAnsi"/>
                                    <w:b/>
                                  </w:rPr>
                                </w:pPr>
                                <w:r w:rsidRPr="001026D1">
                                  <w:rPr>
                                    <w:rFonts w:cstheme="minorHAnsi"/>
                                    <w:b/>
                                  </w:rPr>
                                  <w:t>Senior Management Team</w:t>
                                </w:r>
                              </w:p>
                            </w:txbxContent>
                          </v:textbox>
                        </v:shape>
                      </v:group>
                      <v:shape id="Straight Arrow Connector 44" o:spid="_x0000_s1059" type="#_x0000_t32" style="position:absolute;left:10696;top:21652;width:1380;height:29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" strokecolor="#00cdff [3204]" strokeweight=".5pt">
                        <v:stroke startarrow="block" endarrow="block" joinstyle="miter"/>
                      </v:shape>
                      <v:shape id="Straight Arrow Connector 45" o:spid="_x0000_s1060" type="#_x0000_t32" style="position:absolute;left:28551;top:21564;width:3293;height:3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" strokecolor="#00cdff [3204]" strokeweight=".5pt">
                        <v:stroke startarrow="block" endarrow="block" joinstyle="miter"/>
                      </v:shape>
                      <v:shape id="Straight Arrow Connector 46" o:spid="_x0000_s1061" type="#_x0000_t32" style="position:absolute;left:41838;top:7332;width:2840;height: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UnxxAAAANsAAAAPAAAAZHJzL2Rvd25yZXYueG1sRI9Bi8Iw&#10;FITvwv6H8Ba8aboi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DRJSfHEAAAA2wAAAA8A&#10;AAAAAAAAAAAAAAAABwIAAGRycy9kb3ducmV2LnhtbFBLBQYAAAAAAwADALcAAAD4AgAAAAA=&#10;" strokecolor="#00cdff [3204]" strokeweight=".5pt">
                        <v:stroke startarrow="block" endarrow="block" joinstyle="miter"/>
                      </v:shape>
                      <v:shape id="Straight Arrow Connector 47" o:spid="_x0000_s1062" type="#_x0000_t32" style="position:absolute;left:18805;top:6987;width:2553;height:38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" strokecolor="#00cdff [3204]" strokeweight=".5pt">
                        <v:stroke startarrow="block" endarrow="block" joinstyle="miter"/>
                      </v:shape>
                    </v:group>
                    <v:line id="Straight Connector 48" o:spid="_x0000_s1063" style="position:absolute;flip:x;visibility:visible;mso-wrap-style:square" from="41234,21566" to="41234,3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" strokecolor="#00cdff [3204]" strokeweight="1.5pt">
                      <v:stroke dashstyle="dash" joinstyle="miter"/>
                    </v:line>
                  </v:group>
                  <v:shape id="Straight Arrow Connector 49" o:spid="_x0000_s1064" type="#_x0000_t32" style="position:absolute;left:28553;top:43045;width:5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" strokecolor="#00cdff [3204]" strokeweight=".5pt">
                    <v:stroke startarrow="block" endarrow="block" joinstyle="miter"/>
                  </v:shape>
                </v:group>
              </v:group>
            </w:pict>
          </mc:Fallback>
        </mc:AlternateContent>
      </w:r>
    </w:p>
    <w:p w:rsidR="00BC3AB0" w:rsidRDefault="00BC3AB0" w:rsidP="00BC3AB0">
      <w:pPr>
        <w:spacing w:line="276" w:lineRule="auto"/>
        <w:jc w:val="both"/>
        <w:rPr>
          <w:rFonts w:ascii="Arial" w:hAnsi="Arial"/>
          <w:color w:val="006680" w:themeColor="accent1" w:themeShade="80"/>
          <w:sz w:val="20"/>
          <w:szCs w:val="21"/>
        </w:rPr>
      </w:pPr>
    </w:p>
    <w:p w:rsidR="00BC3AB0" w:rsidRDefault="00BC3AB0" w:rsidP="00BC3AB0">
      <w:pPr>
        <w:jc w:val="both"/>
        <w:rPr>
          <w:rFonts w:ascii="Arial" w:hAnsi="Arial"/>
          <w:color w:val="006680" w:themeColor="accent1" w:themeShade="80"/>
          <w:sz w:val="20"/>
          <w:szCs w:val="21"/>
        </w:rPr>
      </w:pPr>
    </w:p>
    <w:p w:rsidR="00BC3AB0" w:rsidRDefault="00BC3AB0" w:rsidP="00BC3AB0">
      <w:pPr>
        <w:jc w:val="both"/>
        <w:rPr>
          <w:rFonts w:ascii="Arial" w:hAnsi="Arial"/>
          <w:color w:val="006680" w:themeColor="accent1" w:themeShade="80"/>
          <w:sz w:val="20"/>
          <w:szCs w:val="21"/>
        </w:rPr>
      </w:pPr>
    </w:p>
    <w:p w:rsidR="00BC3AB0" w:rsidRDefault="00BC3AB0" w:rsidP="00BC3AB0">
      <w:pPr>
        <w:jc w:val="both"/>
        <w:rPr>
          <w:rFonts w:ascii="Arial" w:hAnsi="Arial"/>
          <w:color w:val="006680" w:themeColor="accent1" w:themeShade="80"/>
          <w:sz w:val="20"/>
          <w:szCs w:val="21"/>
        </w:rPr>
      </w:pPr>
    </w:p>
    <w:p w:rsidR="00BC3AB0" w:rsidRDefault="00BC3AB0" w:rsidP="00BC3AB0">
      <w:pPr>
        <w:jc w:val="both"/>
        <w:rPr>
          <w:rFonts w:ascii="Arial" w:hAnsi="Arial"/>
          <w:color w:val="006680" w:themeColor="accent1" w:themeShade="80"/>
          <w:sz w:val="20"/>
          <w:szCs w:val="21"/>
        </w:rPr>
      </w:pPr>
    </w:p>
    <w:p w:rsidR="00BC3AB0" w:rsidRDefault="00BC3AB0" w:rsidP="00BC3AB0">
      <w:pPr>
        <w:jc w:val="both"/>
        <w:rPr>
          <w:rFonts w:ascii="Arial" w:hAnsi="Arial"/>
          <w:color w:val="006680" w:themeColor="accent1" w:themeShade="80"/>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Pr="00A230A6" w:rsidRDefault="00BC3AB0" w:rsidP="00BC3AB0">
      <w:pPr>
        <w:rPr>
          <w:rFonts w:ascii="Arial" w:hAnsi="Arial"/>
          <w:sz w:val="20"/>
          <w:szCs w:val="21"/>
        </w:rPr>
      </w:pPr>
    </w:p>
    <w:p w:rsidR="00BC3AB0" w:rsidRDefault="00BC3AB0" w:rsidP="00BC3AB0">
      <w:pPr>
        <w:rPr>
          <w:rFonts w:ascii="Arial" w:hAnsi="Arial"/>
          <w:sz w:val="20"/>
          <w:szCs w:val="21"/>
        </w:rPr>
      </w:pPr>
    </w:p>
    <w:p w:rsidR="00BC3AB0" w:rsidRDefault="00BC3AB0" w:rsidP="00BC3AB0">
      <w:pPr>
        <w:rPr>
          <w:rFonts w:ascii="Arial" w:hAnsi="Arial"/>
          <w:sz w:val="20"/>
          <w:szCs w:val="21"/>
        </w:rPr>
      </w:pPr>
    </w:p>
    <w:p w:rsidR="00BC3AB0" w:rsidRDefault="00BC3AB0" w:rsidP="00BC3AB0">
      <w:pPr>
        <w:pStyle w:val="Introduction"/>
        <w:jc w:val="both"/>
        <w:rPr>
          <w:b w:val="0"/>
          <w:sz w:val="24"/>
          <w:szCs w:val="24"/>
        </w:rPr>
      </w:pPr>
    </w:p>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Pr="001026D1" w:rsidRDefault="00BC3AB0" w:rsidP="00BC3AB0"/>
    <w:p w:rsidR="00BC3AB0" w:rsidRDefault="00BC3AB0" w:rsidP="00BC3AB0"/>
    <w:p w:rsidR="00BC3AB0" w:rsidRDefault="00BC3AB0" w:rsidP="00BC3AB0">
      <w:pPr>
        <w:rPr>
          <w:rFonts w:cstheme="minorHAnsi"/>
          <w:sz w:val="22"/>
        </w:rPr>
      </w:pPr>
    </w:p>
    <w:p w:rsidR="00BC3AB0" w:rsidRDefault="00BC3AB0" w:rsidP="00BC3AB0">
      <w:pPr>
        <w:rPr>
          <w:rFonts w:cstheme="minorHAnsi"/>
          <w:sz w:val="22"/>
        </w:rPr>
      </w:pPr>
    </w:p>
    <w:p w:rsidR="00BC3AB0" w:rsidRPr="00BC3AB0" w:rsidRDefault="00BC3AB0" w:rsidP="00BC3AB0">
      <w:pPr>
        <w:rPr>
          <w:rFonts w:cstheme="minorHAnsi"/>
          <w:sz w:val="22"/>
        </w:rPr>
        <w:sectPr w:rsidR="00BC3AB0" w:rsidRPr="00BC3AB0" w:rsidSect="00BC3AB0">
          <w:pgSz w:w="11906" w:h="16838" w:code="9"/>
          <w:pgMar w:top="1440" w:right="1080" w:bottom="1440" w:left="1080" w:header="680" w:footer="340" w:gutter="0"/>
          <w:cols w:space="708"/>
          <w:docGrid w:linePitch="360"/>
        </w:sectPr>
      </w:pPr>
    </w:p>
    <w:tbl>
      <w:tblPr>
        <w:tblStyle w:val="TableGrid"/>
        <w:tblpPr w:leftFromText="180" w:rightFromText="180" w:vertAnchor="text" w:horzAnchor="page" w:tblpX="748" w:tblpY="-605"/>
        <w:tblW w:w="15021" w:type="dxa"/>
        <w:tblLayout w:type="fixed"/>
        <w:tblLook w:val="04A0" w:firstRow="1" w:lastRow="0" w:firstColumn="1" w:lastColumn="0" w:noHBand="0" w:noVBand="1"/>
      </w:tblPr>
      <w:tblGrid>
        <w:gridCol w:w="2405"/>
        <w:gridCol w:w="2126"/>
        <w:gridCol w:w="4820"/>
        <w:gridCol w:w="1984"/>
        <w:gridCol w:w="2226"/>
        <w:gridCol w:w="1460"/>
      </w:tblGrid>
      <w:tr w:rsidR="00BC3AB0" w:rsidRPr="007A205D" w:rsidTr="006E6F9D">
        <w:trPr>
          <w:trHeight w:val="270"/>
        </w:trPr>
        <w:tc>
          <w:tcPr>
            <w:tcW w:w="15021" w:type="dxa"/>
            <w:gridSpan w:val="6"/>
            <w:shd w:val="clear" w:color="auto" w:fill="FF0A6E" w:themeFill="background2"/>
          </w:tcPr>
          <w:p w:rsidR="00BC3AB0" w:rsidRPr="00BC3AB0" w:rsidRDefault="00BC3AB0" w:rsidP="00B01860">
            <w:pPr>
              <w:rPr>
                <w:rFonts w:cstheme="minorHAnsi"/>
                <w:b/>
                <w:bCs/>
                <w:sz w:val="22"/>
              </w:rPr>
            </w:pPr>
            <w:proofErr w:type="spellStart"/>
            <w:r w:rsidRPr="00BC3AB0">
              <w:rPr>
                <w:rFonts w:cstheme="minorHAnsi"/>
                <w:b/>
                <w:bCs/>
                <w:sz w:val="32"/>
              </w:rPr>
              <w:lastRenderedPageBreak/>
              <w:t>AquaticsGB</w:t>
            </w:r>
            <w:proofErr w:type="spellEnd"/>
            <w:r w:rsidRPr="00BC3AB0">
              <w:rPr>
                <w:rFonts w:cstheme="minorHAnsi"/>
                <w:b/>
                <w:bCs/>
                <w:sz w:val="32"/>
              </w:rPr>
              <w:t xml:space="preserve"> Diversity Inclusion Action Plan</w:t>
            </w:r>
          </w:p>
        </w:tc>
      </w:tr>
      <w:tr w:rsidR="00E01D30" w:rsidRPr="007A205D" w:rsidTr="00E01D30">
        <w:trPr>
          <w:trHeight w:val="270"/>
        </w:trPr>
        <w:tc>
          <w:tcPr>
            <w:tcW w:w="2405"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Goal</w:t>
            </w:r>
          </w:p>
        </w:tc>
        <w:tc>
          <w:tcPr>
            <w:tcW w:w="2126"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Objective</w:t>
            </w:r>
          </w:p>
        </w:tc>
        <w:tc>
          <w:tcPr>
            <w:tcW w:w="4820"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Actions</w:t>
            </w:r>
          </w:p>
        </w:tc>
        <w:tc>
          <w:tcPr>
            <w:tcW w:w="1984"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Accountability</w:t>
            </w:r>
          </w:p>
        </w:tc>
        <w:tc>
          <w:tcPr>
            <w:tcW w:w="2226"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Measuring Success</w:t>
            </w:r>
          </w:p>
        </w:tc>
        <w:tc>
          <w:tcPr>
            <w:tcW w:w="1460" w:type="dxa"/>
            <w:shd w:val="clear" w:color="auto" w:fill="FF0A6E" w:themeFill="background2"/>
          </w:tcPr>
          <w:p w:rsidR="00E01D30" w:rsidRPr="007A205D" w:rsidRDefault="00E01D30" w:rsidP="00E01D30">
            <w:pPr>
              <w:rPr>
                <w:rFonts w:cstheme="minorHAnsi"/>
                <w:b/>
                <w:bCs/>
                <w:sz w:val="22"/>
              </w:rPr>
            </w:pPr>
            <w:r w:rsidRPr="007A205D">
              <w:rPr>
                <w:rFonts w:cstheme="minorHAnsi"/>
                <w:b/>
                <w:bCs/>
                <w:sz w:val="22"/>
              </w:rPr>
              <w:t>By When</w:t>
            </w:r>
          </w:p>
        </w:tc>
      </w:tr>
      <w:tr w:rsidR="00E01D30" w:rsidRPr="007A205D" w:rsidTr="007A205D">
        <w:trPr>
          <w:trHeight w:val="270"/>
        </w:trPr>
        <w:tc>
          <w:tcPr>
            <w:tcW w:w="2405" w:type="dxa"/>
            <w:vMerge w:val="restart"/>
          </w:tcPr>
          <w:p w:rsidR="00E01D30" w:rsidRPr="007A205D" w:rsidRDefault="00E01D30" w:rsidP="00E01D30">
            <w:pPr>
              <w:rPr>
                <w:rFonts w:cstheme="minorHAnsi"/>
                <w:b/>
                <w:sz w:val="22"/>
              </w:rPr>
            </w:pPr>
            <w:r w:rsidRPr="007A205D">
              <w:rPr>
                <w:rFonts w:cstheme="minorHAnsi"/>
                <w:b/>
                <w:sz w:val="22"/>
              </w:rPr>
              <w:t>1. Increase diversity and representation at all levels of the organisation</w:t>
            </w:r>
          </w:p>
          <w:p w:rsidR="00E01D30" w:rsidRPr="007A205D" w:rsidRDefault="00E01D30" w:rsidP="00E01D30">
            <w:pPr>
              <w:rPr>
                <w:rFonts w:cstheme="minorHAnsi"/>
                <w:b/>
                <w:sz w:val="22"/>
              </w:rPr>
            </w:pPr>
          </w:p>
          <w:p w:rsidR="00E01D30" w:rsidRPr="007A205D" w:rsidRDefault="00E01D30" w:rsidP="00E01D30">
            <w:pPr>
              <w:rPr>
                <w:rFonts w:cstheme="minorHAnsi"/>
                <w:i/>
                <w:sz w:val="22"/>
              </w:rPr>
            </w:pPr>
            <w:r w:rsidRPr="007A205D">
              <w:rPr>
                <w:rFonts w:cstheme="minorHAnsi"/>
                <w:i/>
                <w:sz w:val="22"/>
              </w:rPr>
              <w:t>Attracting, developing and retaining diverse talent</w:t>
            </w:r>
          </w:p>
          <w:p w:rsidR="00E01D30" w:rsidRPr="007A205D" w:rsidRDefault="00E01D30" w:rsidP="00E01D30">
            <w:pPr>
              <w:rPr>
                <w:rFonts w:cstheme="minorHAnsi"/>
                <w:i/>
                <w:sz w:val="22"/>
              </w:rPr>
            </w:pPr>
          </w:p>
        </w:tc>
        <w:tc>
          <w:tcPr>
            <w:tcW w:w="2126" w:type="dxa"/>
            <w:vMerge w:val="restart"/>
          </w:tcPr>
          <w:p w:rsidR="00E01D30" w:rsidRPr="007A205D" w:rsidRDefault="00E01D30" w:rsidP="00E01D30">
            <w:pPr>
              <w:rPr>
                <w:rFonts w:cstheme="minorHAnsi"/>
                <w:sz w:val="22"/>
              </w:rPr>
            </w:pPr>
            <w:r w:rsidRPr="007A205D">
              <w:rPr>
                <w:rFonts w:cstheme="minorHAnsi"/>
                <w:sz w:val="22"/>
              </w:rPr>
              <w:t>Plan and execute a recruitment review to ensure diverse candidates are attracted to the organisation.</w:t>
            </w:r>
          </w:p>
          <w:p w:rsidR="00E01D30" w:rsidRPr="007A205D" w:rsidRDefault="00E01D30" w:rsidP="00E01D30">
            <w:pPr>
              <w:rPr>
                <w:rFonts w:cstheme="minorHAnsi"/>
                <w:sz w:val="22"/>
              </w:rPr>
            </w:pPr>
          </w:p>
          <w:p w:rsidR="00E01D30" w:rsidRPr="007A205D" w:rsidRDefault="00E01D30" w:rsidP="00E01D30">
            <w:pPr>
              <w:rPr>
                <w:rFonts w:cstheme="minorHAnsi"/>
                <w:b/>
                <w:sz w:val="22"/>
                <w:u w:val="single"/>
              </w:rPr>
            </w:pPr>
            <w:r w:rsidRPr="007A205D">
              <w:rPr>
                <w:rFonts w:cstheme="minorHAnsi"/>
                <w:b/>
                <w:sz w:val="22"/>
                <w:u w:val="single"/>
              </w:rPr>
              <w:t>Our People Plan</w:t>
            </w:r>
          </w:p>
          <w:p w:rsidR="00E01D30" w:rsidRPr="007A205D" w:rsidRDefault="00E01D30" w:rsidP="00E01D30">
            <w:pPr>
              <w:rPr>
                <w:rFonts w:cstheme="minorHAnsi"/>
                <w:sz w:val="22"/>
              </w:rPr>
            </w:pPr>
          </w:p>
          <w:p w:rsidR="00E01D30" w:rsidRPr="007A205D" w:rsidRDefault="00E01D30" w:rsidP="00E01D30">
            <w:pPr>
              <w:rPr>
                <w:rFonts w:cstheme="minorHAnsi"/>
                <w:sz w:val="22"/>
              </w:rPr>
            </w:pPr>
          </w:p>
        </w:tc>
        <w:tc>
          <w:tcPr>
            <w:tcW w:w="10490" w:type="dxa"/>
            <w:gridSpan w:val="4"/>
          </w:tcPr>
          <w:p w:rsidR="00E01D30" w:rsidRPr="007A205D" w:rsidRDefault="00E01D30" w:rsidP="00E01D30">
            <w:pPr>
              <w:rPr>
                <w:rFonts w:cstheme="minorHAnsi"/>
                <w:sz w:val="22"/>
              </w:rPr>
            </w:pPr>
            <w:r w:rsidRPr="007A205D">
              <w:rPr>
                <w:rFonts w:cstheme="minorHAnsi"/>
                <w:sz w:val="22"/>
              </w:rPr>
              <w:t>Short term:</w:t>
            </w:r>
          </w:p>
        </w:tc>
      </w:tr>
      <w:tr w:rsidR="00E01D30" w:rsidRPr="007A205D" w:rsidTr="007A205D">
        <w:trPr>
          <w:trHeight w:val="379"/>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bCs/>
                <w:sz w:val="22"/>
              </w:rPr>
            </w:pPr>
            <w:r w:rsidRPr="007A205D">
              <w:rPr>
                <w:rFonts w:cstheme="minorHAnsi"/>
                <w:bCs/>
                <w:sz w:val="22"/>
              </w:rPr>
              <w:t>1.1 Ensure all job descriptions and person specifications are reviewed to ensure DEI inclusive language and considerations with feedback from external experts to ensure recruitment of candidates from all society and do not present barriers from underrepresented groups of society.</w:t>
            </w:r>
          </w:p>
        </w:tc>
        <w:tc>
          <w:tcPr>
            <w:tcW w:w="1984" w:type="dxa"/>
          </w:tcPr>
          <w:p w:rsidR="00E01D30" w:rsidRPr="007A205D" w:rsidRDefault="00E01D30" w:rsidP="00E01D30">
            <w:pPr>
              <w:rPr>
                <w:rFonts w:cstheme="minorHAnsi"/>
                <w:sz w:val="22"/>
              </w:rPr>
            </w:pPr>
            <w:r w:rsidRPr="007A205D">
              <w:rPr>
                <w:rFonts w:cstheme="minorHAnsi"/>
                <w:sz w:val="22"/>
              </w:rPr>
              <w:t>People Team (with external/</w:t>
            </w:r>
          </w:p>
          <w:p w:rsidR="00E01D30" w:rsidRPr="007A205D" w:rsidRDefault="00E01D30" w:rsidP="00E01D30">
            <w:pPr>
              <w:rPr>
                <w:rFonts w:cstheme="minorHAnsi"/>
                <w:sz w:val="22"/>
              </w:rPr>
            </w:pPr>
            <w:r w:rsidRPr="007A205D">
              <w:rPr>
                <w:rFonts w:cstheme="minorHAnsi"/>
                <w:sz w:val="22"/>
              </w:rPr>
              <w:t>consultancy input)</w:t>
            </w:r>
          </w:p>
        </w:tc>
        <w:tc>
          <w:tcPr>
            <w:tcW w:w="2226" w:type="dxa"/>
          </w:tcPr>
          <w:p w:rsidR="00E01D30" w:rsidRPr="007A205D" w:rsidRDefault="00E01D30" w:rsidP="00E01D30">
            <w:pPr>
              <w:rPr>
                <w:rFonts w:cstheme="minorHAnsi"/>
                <w:sz w:val="22"/>
              </w:rPr>
            </w:pPr>
            <w:r w:rsidRPr="007A205D">
              <w:rPr>
                <w:rFonts w:cstheme="minorHAnsi"/>
                <w:sz w:val="22"/>
              </w:rPr>
              <w:t>A robust set of recruitment paperwork that is reflective of an open and inclusive organisation.</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379"/>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bCs/>
                <w:sz w:val="22"/>
              </w:rPr>
            </w:pPr>
            <w:r w:rsidRPr="007A205D">
              <w:rPr>
                <w:rFonts w:cstheme="minorHAnsi"/>
                <w:bCs/>
                <w:sz w:val="22"/>
              </w:rPr>
              <w:t>1.2 Engaging with diverse recruitment organisations to ensure new job adverts are posted on a more diverse list of recruitment sites, strengthening access to a wider talent pool.</w:t>
            </w:r>
          </w:p>
        </w:tc>
        <w:tc>
          <w:tcPr>
            <w:tcW w:w="1984" w:type="dxa"/>
          </w:tcPr>
          <w:p w:rsidR="00E01D30" w:rsidRPr="007A205D" w:rsidRDefault="00E01D30" w:rsidP="00E01D30">
            <w:pPr>
              <w:rPr>
                <w:rFonts w:cstheme="minorHAnsi"/>
                <w:sz w:val="22"/>
              </w:rPr>
            </w:pPr>
            <w:r w:rsidRPr="007A205D">
              <w:rPr>
                <w:rFonts w:cstheme="minorHAnsi"/>
                <w:sz w:val="22"/>
              </w:rPr>
              <w:t>People Team</w:t>
            </w:r>
          </w:p>
        </w:tc>
        <w:tc>
          <w:tcPr>
            <w:tcW w:w="2226" w:type="dxa"/>
          </w:tcPr>
          <w:p w:rsidR="00E01D30" w:rsidRPr="007A205D" w:rsidRDefault="00E01D30" w:rsidP="00E01D30">
            <w:pPr>
              <w:rPr>
                <w:rFonts w:cstheme="minorHAnsi"/>
                <w:sz w:val="22"/>
              </w:rPr>
            </w:pPr>
            <w:r w:rsidRPr="007A205D">
              <w:rPr>
                <w:rFonts w:cstheme="minorHAnsi"/>
                <w:sz w:val="22"/>
              </w:rPr>
              <w:t>Continually review current recruitment sites in line with internal framework.</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379"/>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bCs/>
                <w:sz w:val="22"/>
              </w:rPr>
              <w:t>1.3 Develop guidance for inclusion in all recruitment packs</w:t>
            </w:r>
            <w:r w:rsidRPr="007A205D">
              <w:rPr>
                <w:rFonts w:cstheme="minorHAnsi"/>
                <w:sz w:val="22"/>
              </w:rPr>
              <w:t>, ensuring recruiting managers are aware of the impact wording and language can have (e.g. abbreviations when using a screen reader).</w:t>
            </w:r>
          </w:p>
        </w:tc>
        <w:tc>
          <w:tcPr>
            <w:tcW w:w="1984" w:type="dxa"/>
          </w:tcPr>
          <w:p w:rsidR="00E01D30" w:rsidRPr="007A205D" w:rsidRDefault="00E01D30" w:rsidP="00E01D30">
            <w:pPr>
              <w:rPr>
                <w:rFonts w:cstheme="minorHAnsi"/>
                <w:sz w:val="22"/>
              </w:rPr>
            </w:pPr>
            <w:r w:rsidRPr="007A205D">
              <w:rPr>
                <w:rFonts w:cstheme="minorHAnsi"/>
                <w:sz w:val="22"/>
              </w:rPr>
              <w:t>People Team</w:t>
            </w:r>
          </w:p>
          <w:p w:rsidR="00E01D30" w:rsidRPr="007A205D" w:rsidRDefault="00E01D30" w:rsidP="00E01D30">
            <w:pPr>
              <w:rPr>
                <w:rFonts w:cstheme="minorHAnsi"/>
                <w:sz w:val="22"/>
              </w:rPr>
            </w:pPr>
            <w:r w:rsidRPr="007A205D">
              <w:rPr>
                <w:rFonts w:cstheme="minorHAnsi"/>
                <w:sz w:val="22"/>
              </w:rPr>
              <w:t>DISR Manager</w:t>
            </w:r>
          </w:p>
        </w:tc>
        <w:tc>
          <w:tcPr>
            <w:tcW w:w="2226" w:type="dxa"/>
          </w:tcPr>
          <w:p w:rsidR="00E01D30" w:rsidRPr="007A205D" w:rsidRDefault="00E01D30" w:rsidP="00E01D30">
            <w:pPr>
              <w:rPr>
                <w:rFonts w:cstheme="minorHAnsi"/>
                <w:sz w:val="22"/>
              </w:rPr>
            </w:pPr>
            <w:r w:rsidRPr="007A205D">
              <w:rPr>
                <w:rFonts w:cstheme="minorHAnsi"/>
                <w:sz w:val="22"/>
              </w:rPr>
              <w:t>A clear set of guidelines for recruiting managers to use when writing job adverts/person specifications.</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379"/>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1.4 Clear and robust DEI guidance to any recruitment agencies used for CEO / Board packs.</w:t>
            </w:r>
          </w:p>
          <w:p w:rsidR="00E01D30" w:rsidRPr="007A205D" w:rsidRDefault="00E01D30" w:rsidP="00E01D30">
            <w:pPr>
              <w:rPr>
                <w:rFonts w:cstheme="minorHAnsi"/>
                <w:bCs/>
                <w:sz w:val="22"/>
              </w:rPr>
            </w:pPr>
          </w:p>
        </w:tc>
        <w:tc>
          <w:tcPr>
            <w:tcW w:w="1984" w:type="dxa"/>
          </w:tcPr>
          <w:p w:rsidR="00E01D30" w:rsidRPr="007A205D" w:rsidRDefault="00E01D30" w:rsidP="00E01D30">
            <w:pPr>
              <w:rPr>
                <w:rFonts w:cstheme="minorHAnsi"/>
                <w:sz w:val="22"/>
              </w:rPr>
            </w:pPr>
            <w:r w:rsidRPr="007A205D">
              <w:rPr>
                <w:rFonts w:cstheme="minorHAnsi"/>
                <w:sz w:val="22"/>
              </w:rPr>
              <w:t>People Team</w:t>
            </w:r>
          </w:p>
        </w:tc>
        <w:tc>
          <w:tcPr>
            <w:tcW w:w="2226" w:type="dxa"/>
          </w:tcPr>
          <w:p w:rsidR="00E01D30" w:rsidRPr="007A205D" w:rsidRDefault="00E01D30" w:rsidP="00E01D30">
            <w:pPr>
              <w:rPr>
                <w:rFonts w:cstheme="minorHAnsi"/>
                <w:sz w:val="22"/>
              </w:rPr>
            </w:pPr>
            <w:r w:rsidRPr="007A205D">
              <w:rPr>
                <w:rFonts w:cstheme="minorHAnsi"/>
                <w:sz w:val="22"/>
              </w:rPr>
              <w:t xml:space="preserve">Ensuring any recruitment agencies used are clear on the DEI guidelines used for recruitment, in order to capture interest from a wider pool of candidates.  </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142"/>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10490" w:type="dxa"/>
            <w:gridSpan w:val="4"/>
          </w:tcPr>
          <w:p w:rsidR="00E01D30" w:rsidRPr="007A205D" w:rsidRDefault="00E01D30" w:rsidP="00E01D30">
            <w:pPr>
              <w:rPr>
                <w:rFonts w:cstheme="minorHAnsi"/>
                <w:sz w:val="22"/>
              </w:rPr>
            </w:pPr>
            <w:r w:rsidRPr="007A205D">
              <w:rPr>
                <w:rFonts w:cstheme="minorHAnsi"/>
                <w:sz w:val="22"/>
              </w:rPr>
              <w:t>Long term:</w:t>
            </w:r>
          </w:p>
        </w:tc>
      </w:tr>
      <w:tr w:rsidR="00E01D30" w:rsidRPr="007A205D" w:rsidTr="007A205D">
        <w:trPr>
          <w:trHeight w:val="345"/>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 xml:space="preserve">1.5 A periodic review of recruitment practices across the organisation, to ensure it is reflective of society and the organisation is </w:t>
            </w:r>
            <w:r w:rsidRPr="007A205D">
              <w:rPr>
                <w:rFonts w:cstheme="minorHAnsi"/>
                <w:sz w:val="22"/>
              </w:rPr>
              <w:lastRenderedPageBreak/>
              <w:t xml:space="preserve">aware of the importance to meet its legal obligations and attract diverse talent. </w:t>
            </w:r>
          </w:p>
        </w:tc>
        <w:tc>
          <w:tcPr>
            <w:tcW w:w="1984" w:type="dxa"/>
          </w:tcPr>
          <w:p w:rsidR="00E01D30" w:rsidRPr="007A205D" w:rsidRDefault="00E01D30" w:rsidP="00E01D30">
            <w:pPr>
              <w:rPr>
                <w:rFonts w:cstheme="minorHAnsi"/>
                <w:sz w:val="22"/>
              </w:rPr>
            </w:pPr>
            <w:r w:rsidRPr="007A205D">
              <w:rPr>
                <w:rFonts w:cstheme="minorHAnsi"/>
                <w:sz w:val="22"/>
              </w:rPr>
              <w:lastRenderedPageBreak/>
              <w:t>People Team</w:t>
            </w:r>
          </w:p>
          <w:p w:rsidR="00E01D30" w:rsidRPr="007A205D" w:rsidRDefault="00E01D30" w:rsidP="00E01D30">
            <w:pPr>
              <w:rPr>
                <w:rFonts w:cstheme="minorHAnsi"/>
                <w:sz w:val="22"/>
              </w:rPr>
            </w:pPr>
            <w:r w:rsidRPr="007A205D">
              <w:rPr>
                <w:rFonts w:cstheme="minorHAnsi"/>
                <w:sz w:val="22"/>
              </w:rPr>
              <w:t>DISR Manager</w:t>
            </w:r>
          </w:p>
        </w:tc>
        <w:tc>
          <w:tcPr>
            <w:tcW w:w="2226" w:type="dxa"/>
          </w:tcPr>
          <w:p w:rsidR="00E01D30" w:rsidRPr="007A205D" w:rsidRDefault="00E01D30" w:rsidP="00E01D30">
            <w:pPr>
              <w:rPr>
                <w:rFonts w:cstheme="minorHAnsi"/>
                <w:sz w:val="22"/>
              </w:rPr>
            </w:pPr>
            <w:r w:rsidRPr="007A205D">
              <w:rPr>
                <w:rFonts w:cstheme="minorHAnsi"/>
                <w:sz w:val="22"/>
              </w:rPr>
              <w:t xml:space="preserve">A robust and diverse recruitment process that limits </w:t>
            </w:r>
            <w:r w:rsidRPr="007A205D">
              <w:rPr>
                <w:rFonts w:cstheme="minorHAnsi"/>
                <w:sz w:val="22"/>
              </w:rPr>
              <w:lastRenderedPageBreak/>
              <w:t xml:space="preserve">all forms of barriers to apply for roles with </w:t>
            </w:r>
            <w:r w:rsidR="00F671B7">
              <w:rPr>
                <w:rFonts w:cstheme="minorHAnsi"/>
                <w:sz w:val="22"/>
              </w:rPr>
              <w:t>Aquatics GB</w:t>
            </w:r>
            <w:r w:rsidRPr="007A205D">
              <w:rPr>
                <w:rFonts w:cstheme="minorHAnsi"/>
                <w:sz w:val="22"/>
              </w:rPr>
              <w:t>.</w:t>
            </w:r>
          </w:p>
        </w:tc>
        <w:tc>
          <w:tcPr>
            <w:tcW w:w="1460" w:type="dxa"/>
          </w:tcPr>
          <w:p w:rsidR="00E01D30" w:rsidRPr="007A205D" w:rsidRDefault="00E01D30" w:rsidP="00E01D30">
            <w:pPr>
              <w:rPr>
                <w:rFonts w:cstheme="minorHAnsi"/>
                <w:sz w:val="22"/>
              </w:rPr>
            </w:pPr>
            <w:r w:rsidRPr="007A205D">
              <w:rPr>
                <w:rFonts w:cstheme="minorHAnsi"/>
                <w:sz w:val="22"/>
              </w:rPr>
              <w:lastRenderedPageBreak/>
              <w:t>December 2028</w:t>
            </w:r>
          </w:p>
        </w:tc>
      </w:tr>
      <w:tr w:rsidR="00E01D30" w:rsidRPr="007A205D" w:rsidTr="007A205D">
        <w:trPr>
          <w:trHeight w:val="53"/>
        </w:trPr>
        <w:tc>
          <w:tcPr>
            <w:tcW w:w="2405" w:type="dxa"/>
            <w:vMerge/>
          </w:tcPr>
          <w:p w:rsidR="00E01D30" w:rsidRPr="007A205D" w:rsidRDefault="00E01D30" w:rsidP="00E01D30">
            <w:pPr>
              <w:rPr>
                <w:rFonts w:cstheme="minorHAnsi"/>
                <w:b/>
                <w:sz w:val="22"/>
              </w:rPr>
            </w:pPr>
          </w:p>
        </w:tc>
        <w:tc>
          <w:tcPr>
            <w:tcW w:w="2126" w:type="dxa"/>
            <w:vMerge w:val="restart"/>
          </w:tcPr>
          <w:p w:rsidR="00E01D30" w:rsidRPr="007A205D" w:rsidRDefault="00E01D30" w:rsidP="00E01D30">
            <w:pPr>
              <w:rPr>
                <w:rFonts w:cstheme="minorHAnsi"/>
                <w:sz w:val="22"/>
              </w:rPr>
            </w:pPr>
            <w:r w:rsidRPr="007A205D">
              <w:rPr>
                <w:rFonts w:cstheme="minorHAnsi"/>
                <w:sz w:val="22"/>
              </w:rPr>
              <w:t>Build a diverse and representative Board &amp; Senior Management Team.</w:t>
            </w:r>
          </w:p>
        </w:tc>
        <w:tc>
          <w:tcPr>
            <w:tcW w:w="10490" w:type="dxa"/>
            <w:gridSpan w:val="4"/>
          </w:tcPr>
          <w:p w:rsidR="00E01D30" w:rsidRPr="007A205D" w:rsidRDefault="00E01D30" w:rsidP="00E01D30">
            <w:pPr>
              <w:rPr>
                <w:rFonts w:cstheme="minorHAnsi"/>
                <w:sz w:val="22"/>
              </w:rPr>
            </w:pPr>
            <w:r w:rsidRPr="007A205D">
              <w:rPr>
                <w:rFonts w:cstheme="minorHAnsi"/>
                <w:sz w:val="22"/>
              </w:rPr>
              <w:t>Short term:</w:t>
            </w:r>
          </w:p>
        </w:tc>
      </w:tr>
      <w:tr w:rsidR="00E01D30" w:rsidRPr="007A205D" w:rsidTr="007A205D">
        <w:trPr>
          <w:trHeight w:val="1133"/>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1.6 Consider recruiting a Boardroom Apprentice in partnership with Department for Levelling Up to provide opportunity for more diversity of thought at Board level.</w:t>
            </w:r>
          </w:p>
        </w:tc>
        <w:tc>
          <w:tcPr>
            <w:tcW w:w="1984" w:type="dxa"/>
          </w:tcPr>
          <w:p w:rsidR="00E01D30" w:rsidRPr="007A205D" w:rsidRDefault="00E01D30" w:rsidP="00E01D30">
            <w:pPr>
              <w:rPr>
                <w:rFonts w:cstheme="minorHAnsi"/>
                <w:sz w:val="22"/>
              </w:rPr>
            </w:pPr>
            <w:r w:rsidRPr="007A205D">
              <w:rPr>
                <w:rFonts w:cstheme="minorHAnsi"/>
                <w:sz w:val="22"/>
              </w:rPr>
              <w:t>Board</w:t>
            </w:r>
          </w:p>
        </w:tc>
        <w:tc>
          <w:tcPr>
            <w:tcW w:w="2226" w:type="dxa"/>
          </w:tcPr>
          <w:p w:rsidR="00E01D30" w:rsidRPr="007A205D" w:rsidRDefault="00E01D30" w:rsidP="00E01D30">
            <w:pPr>
              <w:rPr>
                <w:rFonts w:cstheme="minorHAnsi"/>
                <w:sz w:val="22"/>
              </w:rPr>
            </w:pPr>
            <w:r w:rsidRPr="007A205D">
              <w:rPr>
                <w:rFonts w:cstheme="minorHAnsi"/>
                <w:sz w:val="22"/>
              </w:rPr>
              <w:t>Board to consider and approve.</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1262"/>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 xml:space="preserve">1.7 Ensure an appointed DEI lead for the Board and is communicated to the SMT/relevant wider staff. Consider appropriate and relevant training for appointed member of staff. </w:t>
            </w:r>
          </w:p>
        </w:tc>
        <w:tc>
          <w:tcPr>
            <w:tcW w:w="1984" w:type="dxa"/>
          </w:tcPr>
          <w:p w:rsidR="00E01D30" w:rsidRPr="007A205D" w:rsidRDefault="00E01D30" w:rsidP="00E01D30">
            <w:pPr>
              <w:rPr>
                <w:rFonts w:cstheme="minorHAnsi"/>
                <w:sz w:val="22"/>
              </w:rPr>
            </w:pPr>
            <w:r w:rsidRPr="007A205D">
              <w:rPr>
                <w:rFonts w:cstheme="minorHAnsi"/>
                <w:sz w:val="22"/>
              </w:rPr>
              <w:t>Board</w:t>
            </w:r>
          </w:p>
        </w:tc>
        <w:tc>
          <w:tcPr>
            <w:tcW w:w="2226" w:type="dxa"/>
          </w:tcPr>
          <w:p w:rsidR="00E01D30" w:rsidRPr="007A205D" w:rsidRDefault="00E01D30" w:rsidP="00E01D30">
            <w:pPr>
              <w:rPr>
                <w:rFonts w:cstheme="minorHAnsi"/>
                <w:sz w:val="22"/>
              </w:rPr>
            </w:pPr>
            <w:r w:rsidRPr="007A205D">
              <w:rPr>
                <w:rFonts w:cstheme="minorHAnsi"/>
                <w:sz w:val="22"/>
              </w:rPr>
              <w:t>Nominated member of the Board with expertise and oversight of DEI.</w:t>
            </w:r>
          </w:p>
          <w:p w:rsidR="00E01D30" w:rsidRPr="007A205D" w:rsidRDefault="00E01D30" w:rsidP="00E01D30">
            <w:pPr>
              <w:rPr>
                <w:rFonts w:cstheme="minorHAnsi"/>
                <w:sz w:val="22"/>
              </w:rPr>
            </w:pPr>
            <w:r w:rsidRPr="007A205D">
              <w:rPr>
                <w:rFonts w:cstheme="minorHAnsi"/>
                <w:sz w:val="22"/>
              </w:rPr>
              <w:t>Sourcing appropriate training to conduct their duties.</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558"/>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1.8 Ensure an appointed DEI lead for Senior Management and is communicated to the SMT/relevant wider staff. Consider appropriate and relevant training for appointed member of staff.</w:t>
            </w:r>
          </w:p>
        </w:tc>
        <w:tc>
          <w:tcPr>
            <w:tcW w:w="1984" w:type="dxa"/>
          </w:tcPr>
          <w:p w:rsidR="00E01D30" w:rsidRPr="007A205D" w:rsidRDefault="00E01D30" w:rsidP="00E01D30">
            <w:pPr>
              <w:rPr>
                <w:rFonts w:cstheme="minorHAnsi"/>
                <w:sz w:val="22"/>
              </w:rPr>
            </w:pPr>
            <w:r w:rsidRPr="007A205D">
              <w:rPr>
                <w:rFonts w:cstheme="minorHAnsi"/>
                <w:sz w:val="22"/>
              </w:rPr>
              <w:t>SMT</w:t>
            </w:r>
          </w:p>
        </w:tc>
        <w:tc>
          <w:tcPr>
            <w:tcW w:w="2226" w:type="dxa"/>
          </w:tcPr>
          <w:p w:rsidR="00E01D30" w:rsidRPr="007A205D" w:rsidRDefault="00E01D30" w:rsidP="00E01D30">
            <w:pPr>
              <w:rPr>
                <w:rFonts w:cstheme="minorHAnsi"/>
                <w:sz w:val="22"/>
              </w:rPr>
            </w:pPr>
            <w:r w:rsidRPr="007A205D">
              <w:rPr>
                <w:rFonts w:cstheme="minorHAnsi"/>
                <w:sz w:val="22"/>
              </w:rPr>
              <w:t>An appointed SMT member that champions DEI at the senior level. Sourcing appropriate training to conduct their duties.</w:t>
            </w:r>
          </w:p>
        </w:tc>
        <w:tc>
          <w:tcPr>
            <w:tcW w:w="1460" w:type="dxa"/>
          </w:tcPr>
          <w:p w:rsidR="00E01D30" w:rsidRPr="007A205D" w:rsidRDefault="00E01D30" w:rsidP="00E01D30">
            <w:pPr>
              <w:rPr>
                <w:rFonts w:cstheme="minorHAnsi"/>
                <w:sz w:val="22"/>
              </w:rPr>
            </w:pPr>
            <w:r w:rsidRPr="007A205D">
              <w:rPr>
                <w:rFonts w:cstheme="minorHAnsi"/>
                <w:sz w:val="22"/>
              </w:rPr>
              <w:t>December 2024</w:t>
            </w:r>
          </w:p>
        </w:tc>
      </w:tr>
      <w:tr w:rsidR="00E01D30" w:rsidRPr="007A205D" w:rsidTr="007A205D">
        <w:trPr>
          <w:trHeight w:val="53"/>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10490" w:type="dxa"/>
            <w:gridSpan w:val="4"/>
          </w:tcPr>
          <w:p w:rsidR="00E01D30" w:rsidRPr="007A205D" w:rsidRDefault="00E01D30" w:rsidP="00E01D30">
            <w:pPr>
              <w:rPr>
                <w:rFonts w:cstheme="minorHAnsi"/>
                <w:sz w:val="22"/>
              </w:rPr>
            </w:pPr>
            <w:r w:rsidRPr="007A205D">
              <w:rPr>
                <w:rFonts w:cstheme="minorHAnsi"/>
                <w:sz w:val="22"/>
              </w:rPr>
              <w:t>Medium term:</w:t>
            </w:r>
          </w:p>
        </w:tc>
      </w:tr>
      <w:tr w:rsidR="00E01D30" w:rsidRPr="007A205D" w:rsidTr="007A205D">
        <w:trPr>
          <w:trHeight w:val="277"/>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 xml:space="preserve">1.9 Create and develop Board Diversity Strategy, to be included with People Plan </w:t>
            </w:r>
          </w:p>
        </w:tc>
        <w:tc>
          <w:tcPr>
            <w:tcW w:w="1984" w:type="dxa"/>
          </w:tcPr>
          <w:p w:rsidR="00E01D30" w:rsidRPr="007A205D" w:rsidRDefault="00E01D30" w:rsidP="00E01D30">
            <w:pPr>
              <w:rPr>
                <w:rFonts w:cstheme="minorHAnsi"/>
                <w:sz w:val="22"/>
              </w:rPr>
            </w:pPr>
            <w:r w:rsidRPr="007A205D">
              <w:rPr>
                <w:rFonts w:cstheme="minorHAnsi"/>
                <w:sz w:val="22"/>
              </w:rPr>
              <w:t>SMT</w:t>
            </w:r>
          </w:p>
          <w:p w:rsidR="00E01D30" w:rsidRPr="007A205D" w:rsidRDefault="00E01D30" w:rsidP="00E01D30">
            <w:pPr>
              <w:rPr>
                <w:rFonts w:cstheme="minorHAnsi"/>
                <w:sz w:val="22"/>
              </w:rPr>
            </w:pPr>
            <w:r w:rsidRPr="007A205D">
              <w:rPr>
                <w:rFonts w:cstheme="minorHAnsi"/>
                <w:sz w:val="22"/>
              </w:rPr>
              <w:t>Board</w:t>
            </w:r>
          </w:p>
        </w:tc>
        <w:tc>
          <w:tcPr>
            <w:tcW w:w="2226" w:type="dxa"/>
          </w:tcPr>
          <w:p w:rsidR="00E01D30" w:rsidRPr="007A205D" w:rsidRDefault="00E01D30" w:rsidP="00E01D30">
            <w:pPr>
              <w:rPr>
                <w:rFonts w:cstheme="minorHAnsi"/>
                <w:sz w:val="22"/>
              </w:rPr>
            </w:pPr>
            <w:r w:rsidRPr="007A205D">
              <w:rPr>
                <w:rFonts w:cstheme="minorHAnsi"/>
                <w:sz w:val="22"/>
              </w:rPr>
              <w:t>Reviewed and delivered upon current DEI stats for Board and incoming DEI stats for SMT.</w:t>
            </w:r>
          </w:p>
        </w:tc>
        <w:tc>
          <w:tcPr>
            <w:tcW w:w="1460" w:type="dxa"/>
          </w:tcPr>
          <w:p w:rsidR="00E01D30" w:rsidRPr="007A205D" w:rsidRDefault="00E01D30" w:rsidP="00E01D30">
            <w:pPr>
              <w:rPr>
                <w:rFonts w:cstheme="minorHAnsi"/>
                <w:sz w:val="22"/>
              </w:rPr>
            </w:pPr>
            <w:r w:rsidRPr="007A205D">
              <w:rPr>
                <w:rFonts w:cstheme="minorHAnsi"/>
                <w:sz w:val="22"/>
              </w:rPr>
              <w:t>December 2025</w:t>
            </w:r>
          </w:p>
        </w:tc>
      </w:tr>
      <w:tr w:rsidR="00E01D30" w:rsidRPr="007A205D" w:rsidTr="007A205D">
        <w:trPr>
          <w:trHeight w:val="277"/>
        </w:trPr>
        <w:tc>
          <w:tcPr>
            <w:tcW w:w="2405" w:type="dxa"/>
            <w:vMerge/>
          </w:tcPr>
          <w:p w:rsidR="00E01D30" w:rsidRPr="007A205D" w:rsidRDefault="00E01D30" w:rsidP="00E01D30">
            <w:pPr>
              <w:rPr>
                <w:rFonts w:cstheme="minorHAnsi"/>
                <w:b/>
                <w:sz w:val="22"/>
              </w:rPr>
            </w:pPr>
          </w:p>
        </w:tc>
        <w:tc>
          <w:tcPr>
            <w:tcW w:w="2126" w:type="dxa"/>
            <w:vMerge/>
          </w:tcPr>
          <w:p w:rsidR="00E01D30" w:rsidRPr="007A205D" w:rsidRDefault="00E01D30" w:rsidP="00E01D30">
            <w:pPr>
              <w:rPr>
                <w:rFonts w:cstheme="minorHAnsi"/>
                <w:sz w:val="22"/>
              </w:rPr>
            </w:pPr>
          </w:p>
        </w:tc>
        <w:tc>
          <w:tcPr>
            <w:tcW w:w="4820" w:type="dxa"/>
          </w:tcPr>
          <w:p w:rsidR="00E01D30" w:rsidRPr="007A205D" w:rsidRDefault="00E01D30" w:rsidP="00E01D30">
            <w:pPr>
              <w:rPr>
                <w:rFonts w:cstheme="minorHAnsi"/>
                <w:sz w:val="22"/>
              </w:rPr>
            </w:pPr>
            <w:r w:rsidRPr="007A205D">
              <w:rPr>
                <w:rFonts w:cstheme="minorHAnsi"/>
                <w:sz w:val="22"/>
              </w:rPr>
              <w:t xml:space="preserve">1.10 Continual review of the leadership and governance structure to ensure representation and inclusion across all aspects of the </w:t>
            </w:r>
            <w:r w:rsidRPr="007A205D">
              <w:rPr>
                <w:rFonts w:cstheme="minorHAnsi"/>
                <w:sz w:val="22"/>
              </w:rPr>
              <w:lastRenderedPageBreak/>
              <w:t xml:space="preserve">organisation. Through mechanisms including appraisal process, People Plan and annual DEI Survey. </w:t>
            </w:r>
          </w:p>
        </w:tc>
        <w:tc>
          <w:tcPr>
            <w:tcW w:w="1984" w:type="dxa"/>
          </w:tcPr>
          <w:p w:rsidR="00E01D30" w:rsidRPr="007A205D" w:rsidRDefault="00E01D30" w:rsidP="00E01D30">
            <w:pPr>
              <w:rPr>
                <w:rFonts w:cstheme="minorHAnsi"/>
                <w:sz w:val="22"/>
              </w:rPr>
            </w:pPr>
            <w:r w:rsidRPr="007A205D">
              <w:rPr>
                <w:rFonts w:cstheme="minorHAnsi"/>
                <w:sz w:val="22"/>
              </w:rPr>
              <w:lastRenderedPageBreak/>
              <w:t>Board</w:t>
            </w:r>
          </w:p>
          <w:p w:rsidR="00E01D30" w:rsidRPr="007A205D" w:rsidRDefault="00E01D30" w:rsidP="00E01D30">
            <w:pPr>
              <w:rPr>
                <w:rFonts w:cstheme="minorHAnsi"/>
                <w:sz w:val="22"/>
              </w:rPr>
            </w:pPr>
            <w:r w:rsidRPr="007A205D">
              <w:rPr>
                <w:rFonts w:cstheme="minorHAnsi"/>
                <w:sz w:val="22"/>
              </w:rPr>
              <w:t>CEO</w:t>
            </w:r>
          </w:p>
          <w:p w:rsidR="00E01D30" w:rsidRPr="007A205D" w:rsidRDefault="00E01D30" w:rsidP="00E01D30">
            <w:pPr>
              <w:rPr>
                <w:rFonts w:cstheme="minorHAnsi"/>
                <w:sz w:val="22"/>
              </w:rPr>
            </w:pPr>
            <w:r w:rsidRPr="007A205D">
              <w:rPr>
                <w:rFonts w:cstheme="minorHAnsi"/>
                <w:sz w:val="22"/>
              </w:rPr>
              <w:t>People Team</w:t>
            </w:r>
          </w:p>
          <w:p w:rsidR="00E01D30" w:rsidRPr="007A205D" w:rsidRDefault="00E01D30" w:rsidP="00E01D30">
            <w:pPr>
              <w:rPr>
                <w:rFonts w:cstheme="minorHAnsi"/>
                <w:sz w:val="22"/>
              </w:rPr>
            </w:pPr>
            <w:r w:rsidRPr="007A205D">
              <w:rPr>
                <w:rFonts w:cstheme="minorHAnsi"/>
                <w:sz w:val="22"/>
              </w:rPr>
              <w:lastRenderedPageBreak/>
              <w:t>DISR Manager</w:t>
            </w:r>
          </w:p>
        </w:tc>
        <w:tc>
          <w:tcPr>
            <w:tcW w:w="2226" w:type="dxa"/>
          </w:tcPr>
          <w:p w:rsidR="00E01D30" w:rsidRPr="007A205D" w:rsidRDefault="00E01D30" w:rsidP="00E01D30">
            <w:pPr>
              <w:rPr>
                <w:rFonts w:cstheme="minorHAnsi"/>
                <w:sz w:val="22"/>
              </w:rPr>
            </w:pPr>
            <w:r w:rsidRPr="007A205D">
              <w:rPr>
                <w:rFonts w:cstheme="minorHAnsi"/>
                <w:sz w:val="22"/>
              </w:rPr>
              <w:lastRenderedPageBreak/>
              <w:t xml:space="preserve">Ensuring leadership are aware of the current landscape of </w:t>
            </w:r>
            <w:r w:rsidRPr="007A205D">
              <w:rPr>
                <w:rFonts w:cstheme="minorHAnsi"/>
                <w:sz w:val="22"/>
              </w:rPr>
              <w:lastRenderedPageBreak/>
              <w:t xml:space="preserve">the organisation and take positive steps to address any disparity. </w:t>
            </w:r>
          </w:p>
          <w:p w:rsidR="00E01D30" w:rsidRPr="007A205D" w:rsidRDefault="00E01D30" w:rsidP="00E01D30">
            <w:pPr>
              <w:rPr>
                <w:rFonts w:cstheme="minorHAnsi"/>
                <w:sz w:val="22"/>
              </w:rPr>
            </w:pPr>
          </w:p>
          <w:p w:rsidR="00E01D30" w:rsidRPr="007A205D" w:rsidRDefault="00E01D30" w:rsidP="00E01D30">
            <w:pPr>
              <w:rPr>
                <w:rFonts w:cstheme="minorHAnsi"/>
                <w:sz w:val="22"/>
              </w:rPr>
            </w:pPr>
          </w:p>
          <w:p w:rsidR="00E01D30" w:rsidRPr="007A205D" w:rsidRDefault="00E01D30" w:rsidP="00E01D30">
            <w:pPr>
              <w:rPr>
                <w:rFonts w:cstheme="minorHAnsi"/>
                <w:sz w:val="22"/>
              </w:rPr>
            </w:pPr>
          </w:p>
        </w:tc>
        <w:tc>
          <w:tcPr>
            <w:tcW w:w="1460" w:type="dxa"/>
          </w:tcPr>
          <w:p w:rsidR="00E01D30" w:rsidRPr="007A205D" w:rsidRDefault="00E01D30" w:rsidP="00E01D30">
            <w:pPr>
              <w:rPr>
                <w:rFonts w:cstheme="minorHAnsi"/>
                <w:sz w:val="22"/>
              </w:rPr>
            </w:pPr>
            <w:r w:rsidRPr="007A205D">
              <w:rPr>
                <w:rFonts w:cstheme="minorHAnsi"/>
                <w:sz w:val="22"/>
              </w:rPr>
              <w:lastRenderedPageBreak/>
              <w:t>December 2025</w:t>
            </w:r>
          </w:p>
        </w:tc>
      </w:tr>
      <w:tr w:rsidR="00E01D30" w:rsidRPr="007A205D" w:rsidTr="007A205D">
        <w:trPr>
          <w:trHeight w:val="166"/>
        </w:trPr>
        <w:tc>
          <w:tcPr>
            <w:tcW w:w="2405" w:type="dxa"/>
            <w:vMerge/>
          </w:tcPr>
          <w:p w:rsidR="00E01D30" w:rsidRPr="007A205D" w:rsidRDefault="00E01D30" w:rsidP="00E01D30">
            <w:pPr>
              <w:rPr>
                <w:rFonts w:cstheme="minorHAnsi"/>
                <w:sz w:val="22"/>
              </w:rPr>
            </w:pPr>
          </w:p>
        </w:tc>
        <w:tc>
          <w:tcPr>
            <w:tcW w:w="2126" w:type="dxa"/>
            <w:vMerge/>
          </w:tcPr>
          <w:p w:rsidR="00E01D30" w:rsidRPr="007A205D" w:rsidRDefault="00E01D30" w:rsidP="00E01D30">
            <w:pPr>
              <w:rPr>
                <w:rFonts w:cstheme="minorHAnsi"/>
                <w:sz w:val="22"/>
              </w:rPr>
            </w:pPr>
          </w:p>
        </w:tc>
        <w:tc>
          <w:tcPr>
            <w:tcW w:w="10490" w:type="dxa"/>
            <w:gridSpan w:val="4"/>
          </w:tcPr>
          <w:p w:rsidR="00E01D30" w:rsidRPr="007A205D" w:rsidRDefault="00E01D30" w:rsidP="00E01D30">
            <w:pPr>
              <w:rPr>
                <w:rFonts w:cstheme="minorHAnsi"/>
                <w:sz w:val="22"/>
              </w:rPr>
            </w:pPr>
            <w:r w:rsidRPr="007A205D">
              <w:rPr>
                <w:rFonts w:cstheme="minorHAnsi"/>
                <w:sz w:val="22"/>
              </w:rPr>
              <w:t>Long term:</w:t>
            </w:r>
          </w:p>
        </w:tc>
      </w:tr>
      <w:tr w:rsidR="00E01D30" w:rsidRPr="007A205D" w:rsidTr="007A205D">
        <w:trPr>
          <w:trHeight w:val="668"/>
        </w:trPr>
        <w:tc>
          <w:tcPr>
            <w:tcW w:w="2405" w:type="dxa"/>
            <w:vMerge/>
          </w:tcPr>
          <w:p w:rsidR="00E01D30" w:rsidRPr="007A205D" w:rsidRDefault="00E01D30" w:rsidP="00E01D30">
            <w:pPr>
              <w:rPr>
                <w:rFonts w:cstheme="minorHAnsi"/>
                <w:sz w:val="22"/>
              </w:rPr>
            </w:pPr>
          </w:p>
        </w:tc>
        <w:tc>
          <w:tcPr>
            <w:tcW w:w="2126" w:type="dxa"/>
            <w:vMerge/>
          </w:tcPr>
          <w:p w:rsidR="00E01D30" w:rsidRPr="007A205D" w:rsidRDefault="00E01D30" w:rsidP="00E01D30">
            <w:pPr>
              <w:rPr>
                <w:rFonts w:cstheme="minorHAnsi"/>
                <w:sz w:val="22"/>
              </w:rPr>
            </w:pPr>
          </w:p>
        </w:tc>
        <w:tc>
          <w:tcPr>
            <w:tcW w:w="4820" w:type="dxa"/>
          </w:tcPr>
          <w:p w:rsidR="00E01D30" w:rsidRDefault="00E01D30" w:rsidP="00E01D30">
            <w:pPr>
              <w:rPr>
                <w:rFonts w:cstheme="minorHAnsi"/>
                <w:sz w:val="22"/>
              </w:rPr>
            </w:pPr>
            <w:r w:rsidRPr="007A205D">
              <w:rPr>
                <w:rFonts w:cstheme="minorHAnsi"/>
                <w:sz w:val="22"/>
              </w:rPr>
              <w:t>1.11 To have a fully diverse Board that is representative of national benchmarks from the 2021 Census and internal data, with targets for females (50%), people with a disability (min. 17%), those from ethnically diverse backgrounds (min. 18%) and LGB+ (min. 3%) (Next Census due 2031).</w:t>
            </w:r>
          </w:p>
          <w:p w:rsidR="00E01D30" w:rsidRPr="007A205D" w:rsidRDefault="00E01D30" w:rsidP="00E01D30">
            <w:pPr>
              <w:rPr>
                <w:rFonts w:cstheme="minorHAnsi"/>
                <w:sz w:val="22"/>
              </w:rPr>
            </w:pPr>
          </w:p>
        </w:tc>
        <w:tc>
          <w:tcPr>
            <w:tcW w:w="1984" w:type="dxa"/>
          </w:tcPr>
          <w:p w:rsidR="00E01D30" w:rsidRPr="007A205D" w:rsidRDefault="00E01D30" w:rsidP="00E01D30">
            <w:pPr>
              <w:rPr>
                <w:rFonts w:cstheme="minorHAnsi"/>
                <w:sz w:val="22"/>
              </w:rPr>
            </w:pPr>
            <w:r w:rsidRPr="007A205D">
              <w:rPr>
                <w:rFonts w:cstheme="minorHAnsi"/>
                <w:sz w:val="22"/>
              </w:rPr>
              <w:t>Board</w:t>
            </w:r>
          </w:p>
          <w:p w:rsidR="00E01D30" w:rsidRPr="007A205D" w:rsidRDefault="00E01D30" w:rsidP="00E01D30">
            <w:pPr>
              <w:rPr>
                <w:rFonts w:cstheme="minorHAnsi"/>
                <w:sz w:val="22"/>
              </w:rPr>
            </w:pPr>
            <w:r w:rsidRPr="007A205D">
              <w:rPr>
                <w:rFonts w:cstheme="minorHAnsi"/>
                <w:sz w:val="22"/>
              </w:rPr>
              <w:t>People Team</w:t>
            </w:r>
          </w:p>
        </w:tc>
        <w:tc>
          <w:tcPr>
            <w:tcW w:w="2226" w:type="dxa"/>
          </w:tcPr>
          <w:p w:rsidR="00E01D30" w:rsidRPr="007A205D" w:rsidRDefault="00E01D30" w:rsidP="00E01D30">
            <w:pPr>
              <w:rPr>
                <w:rFonts w:cstheme="minorHAnsi"/>
                <w:sz w:val="22"/>
              </w:rPr>
            </w:pPr>
            <w:r w:rsidRPr="007A205D">
              <w:rPr>
                <w:rFonts w:cstheme="minorHAnsi"/>
                <w:sz w:val="22"/>
              </w:rPr>
              <w:t xml:space="preserve">Benchmarking Census 2021 data in line with </w:t>
            </w:r>
            <w:r w:rsidR="00F671B7">
              <w:rPr>
                <w:rFonts w:cstheme="minorHAnsi"/>
                <w:sz w:val="22"/>
              </w:rPr>
              <w:t>Aquatics GB</w:t>
            </w:r>
            <w:r w:rsidRPr="007A205D">
              <w:rPr>
                <w:rFonts w:cstheme="minorHAnsi"/>
                <w:sz w:val="22"/>
              </w:rPr>
              <w:t xml:space="preserve"> DEI Survey.</w:t>
            </w:r>
          </w:p>
        </w:tc>
        <w:tc>
          <w:tcPr>
            <w:tcW w:w="1460" w:type="dxa"/>
          </w:tcPr>
          <w:p w:rsidR="00E01D30" w:rsidRPr="007A205D" w:rsidRDefault="00E01D30" w:rsidP="00E01D30">
            <w:pPr>
              <w:rPr>
                <w:rFonts w:cstheme="minorHAnsi"/>
                <w:b/>
                <w:sz w:val="22"/>
              </w:rPr>
            </w:pPr>
            <w:r w:rsidRPr="007A205D">
              <w:rPr>
                <w:rFonts w:cstheme="minorHAnsi"/>
                <w:sz w:val="22"/>
              </w:rPr>
              <w:t>December 2028</w:t>
            </w:r>
          </w:p>
        </w:tc>
      </w:tr>
    </w:tbl>
    <w:p w:rsidR="007A205D" w:rsidRDefault="007A205D">
      <w:r>
        <w:br w:type="page"/>
      </w:r>
    </w:p>
    <w:tbl>
      <w:tblPr>
        <w:tblStyle w:val="TableGrid"/>
        <w:tblpPr w:leftFromText="180" w:rightFromText="180" w:vertAnchor="text" w:horzAnchor="page" w:tblpX="748" w:tblpY="-605"/>
        <w:tblW w:w="15021" w:type="dxa"/>
        <w:tblLayout w:type="fixed"/>
        <w:tblLook w:val="04A0" w:firstRow="1" w:lastRow="0" w:firstColumn="1" w:lastColumn="0" w:noHBand="0" w:noVBand="1"/>
      </w:tblPr>
      <w:tblGrid>
        <w:gridCol w:w="2405"/>
        <w:gridCol w:w="2126"/>
        <w:gridCol w:w="4820"/>
        <w:gridCol w:w="1984"/>
        <w:gridCol w:w="2268"/>
        <w:gridCol w:w="1418"/>
      </w:tblGrid>
      <w:tr w:rsidR="007A205D" w:rsidRPr="007A205D" w:rsidTr="00E01D30">
        <w:trPr>
          <w:trHeight w:val="377"/>
        </w:trPr>
        <w:tc>
          <w:tcPr>
            <w:tcW w:w="2405"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lastRenderedPageBreak/>
              <w:t>Goal</w:t>
            </w:r>
          </w:p>
        </w:tc>
        <w:tc>
          <w:tcPr>
            <w:tcW w:w="2126"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Objective</w:t>
            </w:r>
          </w:p>
        </w:tc>
        <w:tc>
          <w:tcPr>
            <w:tcW w:w="4820"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Actions</w:t>
            </w:r>
          </w:p>
        </w:tc>
        <w:tc>
          <w:tcPr>
            <w:tcW w:w="1984"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Accountability</w:t>
            </w:r>
          </w:p>
        </w:tc>
        <w:tc>
          <w:tcPr>
            <w:tcW w:w="2268"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Measuring Success</w:t>
            </w:r>
          </w:p>
        </w:tc>
        <w:tc>
          <w:tcPr>
            <w:tcW w:w="1418"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By When</w:t>
            </w:r>
          </w:p>
        </w:tc>
      </w:tr>
      <w:tr w:rsidR="007A205D" w:rsidRPr="007A205D" w:rsidTr="007A205D">
        <w:trPr>
          <w:trHeight w:val="181"/>
        </w:trPr>
        <w:tc>
          <w:tcPr>
            <w:tcW w:w="2405" w:type="dxa"/>
            <w:vMerge w:val="restart"/>
          </w:tcPr>
          <w:p w:rsidR="007A205D" w:rsidRPr="007A205D" w:rsidRDefault="007A205D" w:rsidP="007A205D">
            <w:pPr>
              <w:rPr>
                <w:rFonts w:cstheme="minorHAnsi"/>
                <w:b/>
                <w:sz w:val="22"/>
              </w:rPr>
            </w:pPr>
            <w:r w:rsidRPr="007A205D">
              <w:rPr>
                <w:rFonts w:cstheme="minorHAnsi"/>
                <w:b/>
                <w:sz w:val="22"/>
              </w:rPr>
              <w:t>2. Embed and transform inclusion practice across the aquatics disciplines</w:t>
            </w:r>
          </w:p>
          <w:p w:rsidR="007A205D" w:rsidRPr="007A205D" w:rsidRDefault="007A205D" w:rsidP="007A205D">
            <w:pPr>
              <w:rPr>
                <w:rFonts w:cstheme="minorHAnsi"/>
                <w:b/>
                <w:sz w:val="22"/>
              </w:rPr>
            </w:pPr>
          </w:p>
          <w:p w:rsidR="007A205D" w:rsidRPr="007A205D" w:rsidRDefault="007A205D" w:rsidP="007A205D">
            <w:pPr>
              <w:rPr>
                <w:rFonts w:cstheme="minorHAnsi"/>
                <w:i/>
                <w:sz w:val="22"/>
              </w:rPr>
            </w:pPr>
            <w:r w:rsidRPr="007A205D">
              <w:rPr>
                <w:rFonts w:cstheme="minorHAnsi"/>
                <w:i/>
                <w:sz w:val="22"/>
              </w:rPr>
              <w:t>Creating a culture that values and understands the benefits that DEI bring.</w:t>
            </w:r>
          </w:p>
        </w:tc>
        <w:tc>
          <w:tcPr>
            <w:tcW w:w="2126" w:type="dxa"/>
            <w:vMerge w:val="restart"/>
          </w:tcPr>
          <w:p w:rsidR="007A205D" w:rsidRPr="007A205D" w:rsidRDefault="007A205D" w:rsidP="007A205D">
            <w:pPr>
              <w:rPr>
                <w:rFonts w:cstheme="minorHAnsi"/>
                <w:sz w:val="22"/>
              </w:rPr>
            </w:pPr>
            <w:r w:rsidRPr="007A205D">
              <w:rPr>
                <w:rFonts w:cstheme="minorHAnsi"/>
                <w:sz w:val="22"/>
              </w:rPr>
              <w:t>Conduct a comprehensive assessment of the current inclusion practices across the organisation to identify gaps and areas for improvement.</w:t>
            </w:r>
          </w:p>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Short Term:</w:t>
            </w:r>
          </w:p>
        </w:tc>
      </w:tr>
      <w:tr w:rsidR="007A205D" w:rsidRPr="007A205D" w:rsidTr="007A205D">
        <w:trPr>
          <w:trHeight w:val="696"/>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 xml:space="preserve">2.1 Review the current organisational policies and procedures, ensuring it clearly identifies any potential barriers to diversity and inclusion including (but not limited to) Equal Opportunities, Dignity at Work Policy, Equality Public Statement and relevant family policies (adoption/maternity/paternity/fertility). </w:t>
            </w:r>
          </w:p>
        </w:tc>
        <w:tc>
          <w:tcPr>
            <w:tcW w:w="1984" w:type="dxa"/>
          </w:tcPr>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Review of all organisation policies related to DEI and creation of new relevant policies.</w:t>
            </w:r>
          </w:p>
        </w:tc>
        <w:tc>
          <w:tcPr>
            <w:tcW w:w="1418" w:type="dxa"/>
          </w:tcPr>
          <w:p w:rsidR="007A205D" w:rsidRPr="007A205D" w:rsidRDefault="007A205D" w:rsidP="007A205D">
            <w:pPr>
              <w:rPr>
                <w:rFonts w:cstheme="minorHAnsi"/>
                <w:sz w:val="22"/>
              </w:rPr>
            </w:pPr>
            <w:r w:rsidRPr="007A205D">
              <w:rPr>
                <w:rFonts w:cstheme="minorHAnsi"/>
                <w:sz w:val="22"/>
              </w:rPr>
              <w:t>December  2024</w:t>
            </w:r>
          </w:p>
          <w:p w:rsidR="007A205D" w:rsidRPr="007A205D" w:rsidRDefault="007A205D" w:rsidP="007A205D">
            <w:pPr>
              <w:rPr>
                <w:rFonts w:cstheme="minorHAnsi"/>
                <w:sz w:val="22"/>
              </w:rPr>
            </w:pPr>
          </w:p>
        </w:tc>
      </w:tr>
      <w:tr w:rsidR="007A205D" w:rsidRPr="007A205D" w:rsidTr="007A205D">
        <w:trPr>
          <w:trHeight w:val="696"/>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 xml:space="preserve">2.2 Review and deliver the </w:t>
            </w:r>
            <w:r w:rsidR="00F671B7">
              <w:rPr>
                <w:rFonts w:cstheme="minorHAnsi"/>
                <w:sz w:val="22"/>
              </w:rPr>
              <w:t>Aquatics GB</w:t>
            </w:r>
            <w:r w:rsidRPr="007A205D">
              <w:rPr>
                <w:rFonts w:cstheme="minorHAnsi"/>
                <w:sz w:val="22"/>
              </w:rPr>
              <w:t xml:space="preserve"> DEI Survey to gather richer feedback on the organisation’s current DEI landscape and identify areas for improvement, including Board/SMT demographic breakdown to remove ambiguity and demonstrate clear reporting. Also include free text/qualitative surveying questions for greater feedback around thoughts on DEI practice/challenges from respondents. </w:t>
            </w:r>
          </w:p>
        </w:tc>
        <w:tc>
          <w:tcPr>
            <w:tcW w:w="1984" w:type="dxa"/>
          </w:tcPr>
          <w:p w:rsidR="007A205D" w:rsidRPr="007A205D" w:rsidRDefault="007A205D" w:rsidP="007A205D">
            <w:pPr>
              <w:rPr>
                <w:rFonts w:cstheme="minorHAnsi"/>
                <w:sz w:val="22"/>
              </w:rPr>
            </w:pPr>
            <w:r w:rsidRPr="007A205D">
              <w:rPr>
                <w:rFonts w:cstheme="minorHAnsi"/>
                <w:sz w:val="22"/>
              </w:rPr>
              <w:t xml:space="preserve">DISR Manager </w:t>
            </w:r>
          </w:p>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At least 80% response rate for 2023 survey. (74% in 2022).</w:t>
            </w:r>
          </w:p>
          <w:p w:rsidR="007A205D" w:rsidRPr="007A205D" w:rsidRDefault="007A205D" w:rsidP="007A205D">
            <w:pPr>
              <w:rPr>
                <w:rFonts w:cstheme="minorHAnsi"/>
                <w:sz w:val="22"/>
              </w:rPr>
            </w:pPr>
          </w:p>
          <w:p w:rsidR="007A205D" w:rsidRPr="007A205D" w:rsidRDefault="007A205D" w:rsidP="007A205D">
            <w:pPr>
              <w:rPr>
                <w:rFonts w:cstheme="minorHAnsi"/>
                <w:sz w:val="22"/>
              </w:rPr>
            </w:pPr>
            <w:r w:rsidRPr="007A205D">
              <w:rPr>
                <w:rFonts w:cstheme="minorHAnsi"/>
                <w:sz w:val="22"/>
              </w:rPr>
              <w:t>Inclusion of qualitative question within survey with appropriate follow-up. (</w:t>
            </w:r>
            <w:proofErr w:type="gramStart"/>
            <w:r w:rsidRPr="007A205D">
              <w:rPr>
                <w:rFonts w:cstheme="minorHAnsi"/>
                <w:sz w:val="22"/>
              </w:rPr>
              <w:t>e.g</w:t>
            </w:r>
            <w:proofErr w:type="gramEnd"/>
            <w:r w:rsidRPr="007A205D">
              <w:rPr>
                <w:rFonts w:cstheme="minorHAnsi"/>
                <w:sz w:val="22"/>
              </w:rPr>
              <w:t>. You Said, We Did style feedback to staff).</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274"/>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Medium Term:</w:t>
            </w:r>
          </w:p>
        </w:tc>
      </w:tr>
      <w:tr w:rsidR="007A205D" w:rsidRPr="007A205D" w:rsidTr="007A205D">
        <w:trPr>
          <w:trHeight w:val="523"/>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2.4 Data analysis of existing workforce to identify any disparities in representation, pay or promotion rates in different demographic groups.</w:t>
            </w:r>
          </w:p>
        </w:tc>
        <w:tc>
          <w:tcPr>
            <w:tcW w:w="1984" w:type="dxa"/>
          </w:tcPr>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Comprehensive data review with clear metrics for success and development.</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61"/>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Long Term:</w:t>
            </w:r>
          </w:p>
        </w:tc>
      </w:tr>
      <w:tr w:rsidR="007A205D" w:rsidRPr="007A205D" w:rsidTr="007A205D">
        <w:trPr>
          <w:trHeight w:val="625"/>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2.5 Maintain a diversely balanced staff structure, with future appointments made through comprehensive recruitment processes to support the organisations public commitment to DEI.</w:t>
            </w:r>
          </w:p>
          <w:p w:rsidR="007A205D" w:rsidRPr="007A205D" w:rsidRDefault="007A205D" w:rsidP="007A205D">
            <w:pPr>
              <w:rPr>
                <w:rFonts w:cstheme="minorHAnsi"/>
                <w:sz w:val="22"/>
              </w:rPr>
            </w:pPr>
          </w:p>
        </w:tc>
        <w:tc>
          <w:tcPr>
            <w:tcW w:w="1984" w:type="dxa"/>
          </w:tcPr>
          <w:p w:rsidR="007A205D" w:rsidRPr="007A205D" w:rsidRDefault="007A205D" w:rsidP="007A205D">
            <w:pPr>
              <w:rPr>
                <w:rFonts w:cstheme="minorHAnsi"/>
                <w:sz w:val="22"/>
              </w:rPr>
            </w:pPr>
            <w:r w:rsidRPr="007A205D">
              <w:rPr>
                <w:rFonts w:cstheme="minorHAnsi"/>
                <w:sz w:val="22"/>
              </w:rPr>
              <w:t xml:space="preserve">Board/CEO </w:t>
            </w:r>
          </w:p>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Reported in annual DEI Survey.</w:t>
            </w:r>
          </w:p>
        </w:tc>
        <w:tc>
          <w:tcPr>
            <w:tcW w:w="1418" w:type="dxa"/>
          </w:tcPr>
          <w:p w:rsidR="007A205D" w:rsidRPr="007A205D" w:rsidRDefault="007A205D" w:rsidP="007A205D">
            <w:pPr>
              <w:rPr>
                <w:rFonts w:cstheme="minorHAnsi"/>
                <w:sz w:val="22"/>
              </w:rPr>
            </w:pPr>
            <w:r w:rsidRPr="007A205D">
              <w:rPr>
                <w:rFonts w:cstheme="minorHAnsi"/>
                <w:sz w:val="22"/>
              </w:rPr>
              <w:t>December 2028</w:t>
            </w:r>
          </w:p>
        </w:tc>
      </w:tr>
      <w:tr w:rsidR="007A205D" w:rsidRPr="007A205D" w:rsidTr="007A205D">
        <w:trPr>
          <w:trHeight w:val="625"/>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To be an employer of choice and ensure the organisation has strong, developed inclusive progression pathways.</w:t>
            </w:r>
          </w:p>
        </w:tc>
        <w:tc>
          <w:tcPr>
            <w:tcW w:w="1984" w:type="dxa"/>
          </w:tcPr>
          <w:p w:rsidR="007A205D" w:rsidRPr="007A205D" w:rsidRDefault="007A205D" w:rsidP="007A205D">
            <w:pPr>
              <w:rPr>
                <w:rFonts w:cstheme="minorHAnsi"/>
                <w:sz w:val="22"/>
              </w:rPr>
            </w:pPr>
            <w:r w:rsidRPr="007A205D">
              <w:rPr>
                <w:rFonts w:cstheme="minorHAnsi"/>
                <w:sz w:val="22"/>
              </w:rPr>
              <w:t>Board/SMT</w:t>
            </w:r>
          </w:p>
          <w:p w:rsidR="007A205D" w:rsidRPr="007A205D" w:rsidRDefault="007A205D" w:rsidP="007A205D">
            <w:pPr>
              <w:rPr>
                <w:rFonts w:cstheme="minorHAnsi"/>
                <w:sz w:val="22"/>
              </w:rPr>
            </w:pPr>
            <w:r w:rsidRPr="007A205D">
              <w:rPr>
                <w:rFonts w:cstheme="minorHAnsi"/>
                <w:sz w:val="22"/>
              </w:rPr>
              <w:t>People Team</w:t>
            </w:r>
          </w:p>
        </w:tc>
        <w:tc>
          <w:tcPr>
            <w:tcW w:w="2268" w:type="dxa"/>
          </w:tcPr>
          <w:p w:rsidR="007A205D" w:rsidRPr="007A205D" w:rsidRDefault="007A205D" w:rsidP="007A205D">
            <w:pPr>
              <w:rPr>
                <w:rFonts w:cstheme="minorHAnsi"/>
                <w:sz w:val="22"/>
              </w:rPr>
            </w:pPr>
            <w:r w:rsidRPr="007A205D">
              <w:rPr>
                <w:rFonts w:cstheme="minorHAnsi"/>
                <w:sz w:val="22"/>
              </w:rPr>
              <w:t>Through external feedback and benchmarking.</w:t>
            </w:r>
          </w:p>
        </w:tc>
        <w:tc>
          <w:tcPr>
            <w:tcW w:w="1418" w:type="dxa"/>
          </w:tcPr>
          <w:p w:rsidR="007A205D" w:rsidRPr="007A205D" w:rsidRDefault="007A205D" w:rsidP="007A205D">
            <w:pPr>
              <w:rPr>
                <w:rFonts w:cstheme="minorHAnsi"/>
                <w:sz w:val="22"/>
              </w:rPr>
            </w:pPr>
            <w:r w:rsidRPr="007A205D">
              <w:rPr>
                <w:rFonts w:cstheme="minorHAnsi"/>
                <w:sz w:val="22"/>
              </w:rPr>
              <w:t>December 2028</w:t>
            </w:r>
          </w:p>
        </w:tc>
      </w:tr>
      <w:tr w:rsidR="007A205D" w:rsidRPr="007A205D" w:rsidTr="007A205D">
        <w:trPr>
          <w:trHeight w:val="167"/>
        </w:trPr>
        <w:tc>
          <w:tcPr>
            <w:tcW w:w="2405" w:type="dxa"/>
            <w:vMerge/>
          </w:tcPr>
          <w:p w:rsidR="007A205D" w:rsidRPr="007A205D" w:rsidRDefault="007A205D" w:rsidP="007A205D">
            <w:pPr>
              <w:rPr>
                <w:rFonts w:cstheme="minorHAnsi"/>
                <w:sz w:val="22"/>
              </w:rPr>
            </w:pPr>
          </w:p>
        </w:tc>
        <w:tc>
          <w:tcPr>
            <w:tcW w:w="2126" w:type="dxa"/>
            <w:vMerge w:val="restart"/>
          </w:tcPr>
          <w:p w:rsidR="007A205D" w:rsidRPr="007A205D" w:rsidRDefault="007A205D" w:rsidP="007A205D">
            <w:pPr>
              <w:rPr>
                <w:rFonts w:cstheme="minorHAnsi"/>
                <w:sz w:val="22"/>
              </w:rPr>
            </w:pPr>
            <w:r w:rsidRPr="007A205D">
              <w:rPr>
                <w:rFonts w:cstheme="minorHAnsi"/>
                <w:sz w:val="22"/>
              </w:rPr>
              <w:t>Provide regular and relevant DEI training and education opportunities for all employees highlighting the organisational benefits DEI bring (Internal education).</w:t>
            </w:r>
          </w:p>
        </w:tc>
        <w:tc>
          <w:tcPr>
            <w:tcW w:w="10490" w:type="dxa"/>
            <w:gridSpan w:val="4"/>
          </w:tcPr>
          <w:p w:rsidR="007A205D" w:rsidRPr="007A205D" w:rsidRDefault="007A205D" w:rsidP="007A205D">
            <w:pPr>
              <w:rPr>
                <w:rFonts w:cstheme="minorHAnsi"/>
                <w:sz w:val="22"/>
              </w:rPr>
            </w:pPr>
            <w:r w:rsidRPr="007A205D">
              <w:rPr>
                <w:rFonts w:cstheme="minorHAnsi"/>
                <w:sz w:val="22"/>
              </w:rPr>
              <w:t>Short Term:</w:t>
            </w:r>
          </w:p>
        </w:tc>
      </w:tr>
      <w:tr w:rsidR="007A205D" w:rsidRPr="007A205D" w:rsidTr="007A205D">
        <w:trPr>
          <w:trHeight w:val="625"/>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 xml:space="preserve">2.6 Review unconscious bias training and recruitment and selection training for all hiring managers and mandate its completion. Ensuring managers are informed, supported by the People team and engaged prior to the recruitment process. Continue to include recruitment within line manager training. Include annual recruitment updates. Continue to include Observer/External panellists for senior positions. </w:t>
            </w:r>
          </w:p>
        </w:tc>
        <w:tc>
          <w:tcPr>
            <w:tcW w:w="1984" w:type="dxa"/>
          </w:tcPr>
          <w:p w:rsidR="007A205D" w:rsidRPr="007A205D" w:rsidRDefault="007A205D" w:rsidP="007A205D">
            <w:pPr>
              <w:rPr>
                <w:rFonts w:cstheme="minorHAnsi"/>
                <w:sz w:val="22"/>
              </w:rPr>
            </w:pPr>
            <w:r w:rsidRPr="007A205D">
              <w:rPr>
                <w:rFonts w:cstheme="minorHAnsi"/>
                <w:sz w:val="22"/>
              </w:rPr>
              <w:t>All managers/SMT</w:t>
            </w:r>
          </w:p>
        </w:tc>
        <w:tc>
          <w:tcPr>
            <w:tcW w:w="2268" w:type="dxa"/>
          </w:tcPr>
          <w:p w:rsidR="007A205D" w:rsidRPr="007A205D" w:rsidRDefault="007A205D" w:rsidP="007A205D">
            <w:pPr>
              <w:rPr>
                <w:rFonts w:cstheme="minorHAnsi"/>
                <w:sz w:val="22"/>
              </w:rPr>
            </w:pPr>
            <w:r w:rsidRPr="007A205D">
              <w:rPr>
                <w:rFonts w:cstheme="minorHAnsi"/>
                <w:sz w:val="22"/>
              </w:rPr>
              <w:t xml:space="preserve">All hiring managers are aware of their unconscious biases and recognise the importance of a robust recruitment. </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625"/>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 xml:space="preserve">2.7 Review and provide clear resources and support for employees and athletes who may be experiencing discrimination and harassment based on their cultural background and provided/signpost to culturally sensitive support. Clearly communicating both internally for athletes (Athlete Representative, Athlete Leadership Group) and for staff (People team) as well as externally (Sporting Integrity service provided by Sports Resolutions to support all athletes and staff involved on team camps and competitions).  </w:t>
            </w:r>
          </w:p>
        </w:tc>
        <w:tc>
          <w:tcPr>
            <w:tcW w:w="1984" w:type="dxa"/>
          </w:tcPr>
          <w:p w:rsidR="007A205D" w:rsidRPr="007A205D" w:rsidRDefault="007A205D" w:rsidP="007A205D">
            <w:pPr>
              <w:rPr>
                <w:rFonts w:cstheme="minorHAnsi"/>
                <w:sz w:val="22"/>
              </w:rPr>
            </w:pPr>
            <w:r w:rsidRPr="007A205D">
              <w:rPr>
                <w:rFonts w:cstheme="minorHAnsi"/>
                <w:sz w:val="22"/>
              </w:rPr>
              <w:t>People Team</w:t>
            </w:r>
          </w:p>
        </w:tc>
        <w:tc>
          <w:tcPr>
            <w:tcW w:w="2268" w:type="dxa"/>
          </w:tcPr>
          <w:p w:rsidR="007A205D" w:rsidRPr="007A205D" w:rsidRDefault="007A205D" w:rsidP="007A205D">
            <w:pPr>
              <w:rPr>
                <w:rFonts w:cstheme="minorHAnsi"/>
                <w:sz w:val="22"/>
              </w:rPr>
            </w:pPr>
            <w:r w:rsidRPr="007A205D">
              <w:rPr>
                <w:rFonts w:cstheme="minorHAnsi"/>
                <w:sz w:val="22"/>
              </w:rPr>
              <w:t>A clear pathway that everyone is aware of to report discrimination of any kind.</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54"/>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Medium Term:</w:t>
            </w:r>
          </w:p>
        </w:tc>
      </w:tr>
      <w:tr w:rsidR="007A205D" w:rsidRPr="007A205D" w:rsidTr="007A205D">
        <w:trPr>
          <w:trHeight w:val="487"/>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2.8 Training on best practice for engaging with those living with a disability for all staff.</w:t>
            </w:r>
          </w:p>
        </w:tc>
        <w:tc>
          <w:tcPr>
            <w:tcW w:w="1984" w:type="dxa"/>
          </w:tcPr>
          <w:p w:rsidR="007A205D" w:rsidRPr="007A205D" w:rsidRDefault="007A205D" w:rsidP="007A205D">
            <w:pPr>
              <w:rPr>
                <w:rFonts w:cstheme="minorHAnsi"/>
                <w:sz w:val="22"/>
              </w:rPr>
            </w:pPr>
            <w:r w:rsidRPr="007A205D">
              <w:rPr>
                <w:rFonts w:cstheme="minorHAnsi"/>
                <w:sz w:val="22"/>
              </w:rPr>
              <w:t>All Staff</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A cohort of staff across the organisation who recognise the importance of accessibility training.</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487"/>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2.9 Communications team training to engage with diverse backgrounds both internally and externally.</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tc>
        <w:tc>
          <w:tcPr>
            <w:tcW w:w="2268" w:type="dxa"/>
          </w:tcPr>
          <w:p w:rsidR="007A205D" w:rsidRPr="007A205D" w:rsidRDefault="007A205D" w:rsidP="007A205D">
            <w:pPr>
              <w:rPr>
                <w:rFonts w:cstheme="minorHAnsi"/>
                <w:sz w:val="22"/>
              </w:rPr>
            </w:pPr>
            <w:r w:rsidRPr="007A205D">
              <w:rPr>
                <w:rFonts w:cstheme="minorHAnsi"/>
                <w:sz w:val="22"/>
              </w:rPr>
              <w:t>Ensuring the current and future communications workforce have been trained on developing content mindful of diverse background and accessible needs.</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487"/>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2.10 Review and update recruitment and selection training (through line management training), and mandate its completion by all hiring managers, ensuring managers are informed, supported and engaged to help meet recruitment targets.</w:t>
            </w:r>
          </w:p>
        </w:tc>
        <w:tc>
          <w:tcPr>
            <w:tcW w:w="1984" w:type="dxa"/>
          </w:tcPr>
          <w:p w:rsidR="007A205D" w:rsidRPr="007A205D" w:rsidRDefault="007A205D" w:rsidP="007A205D">
            <w:pPr>
              <w:rPr>
                <w:rFonts w:cstheme="minorHAnsi"/>
                <w:sz w:val="22"/>
              </w:rPr>
            </w:pPr>
            <w:r w:rsidRPr="007A205D">
              <w:rPr>
                <w:rFonts w:cstheme="minorHAnsi"/>
                <w:sz w:val="22"/>
              </w:rPr>
              <w:t>People Team</w:t>
            </w:r>
          </w:p>
        </w:tc>
        <w:tc>
          <w:tcPr>
            <w:tcW w:w="2268" w:type="dxa"/>
          </w:tcPr>
          <w:p w:rsidR="007A205D" w:rsidRPr="007A205D" w:rsidRDefault="007A205D" w:rsidP="007A205D">
            <w:pPr>
              <w:rPr>
                <w:rFonts w:cstheme="minorHAnsi"/>
                <w:sz w:val="22"/>
              </w:rPr>
            </w:pPr>
            <w:r w:rsidRPr="007A205D">
              <w:rPr>
                <w:rFonts w:cstheme="minorHAnsi"/>
                <w:sz w:val="22"/>
              </w:rPr>
              <w:t>A well-informed recruitment process that minimises any biases that could potentially occur.</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211"/>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Long Term:</w:t>
            </w:r>
          </w:p>
        </w:tc>
      </w:tr>
      <w:tr w:rsidR="007A205D" w:rsidRPr="007A205D" w:rsidTr="007A205D">
        <w:trPr>
          <w:trHeight w:val="627"/>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numPr>
                <w:ilvl w:val="0"/>
                <w:numId w:val="1"/>
              </w:num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2.11 Grow awareness and understanding of benefits diversity and inclusion in the workplace has through training for all staff.</w:t>
            </w:r>
          </w:p>
        </w:tc>
        <w:tc>
          <w:tcPr>
            <w:tcW w:w="1984" w:type="dxa"/>
          </w:tcPr>
          <w:p w:rsidR="007A205D" w:rsidRPr="007A205D" w:rsidRDefault="007A205D" w:rsidP="007A205D">
            <w:pPr>
              <w:rPr>
                <w:rFonts w:cstheme="minorHAnsi"/>
                <w:sz w:val="22"/>
              </w:rPr>
            </w:pPr>
            <w:r w:rsidRPr="007A205D">
              <w:rPr>
                <w:rFonts w:cstheme="minorHAnsi"/>
                <w:sz w:val="22"/>
              </w:rPr>
              <w:t>Board</w:t>
            </w:r>
          </w:p>
          <w:p w:rsidR="007A205D" w:rsidRPr="007A205D" w:rsidRDefault="007A205D" w:rsidP="007A205D">
            <w:pPr>
              <w:rPr>
                <w:rFonts w:cstheme="minorHAnsi"/>
                <w:sz w:val="22"/>
              </w:rPr>
            </w:pPr>
            <w:r w:rsidRPr="007A205D">
              <w:rPr>
                <w:rFonts w:cstheme="minorHAnsi"/>
                <w:sz w:val="22"/>
              </w:rPr>
              <w:t>SMT</w:t>
            </w:r>
          </w:p>
        </w:tc>
        <w:tc>
          <w:tcPr>
            <w:tcW w:w="2268" w:type="dxa"/>
          </w:tcPr>
          <w:p w:rsidR="007A205D" w:rsidRPr="007A205D" w:rsidRDefault="007A205D" w:rsidP="007A205D">
            <w:pPr>
              <w:rPr>
                <w:rFonts w:cstheme="minorHAnsi"/>
                <w:sz w:val="22"/>
              </w:rPr>
            </w:pPr>
            <w:r w:rsidRPr="007A205D">
              <w:rPr>
                <w:rFonts w:cstheme="minorHAnsi"/>
                <w:sz w:val="22"/>
              </w:rPr>
              <w:t>Continual monitoring of training and awareness for the organisation and remain current to societal demands.</w:t>
            </w:r>
          </w:p>
        </w:tc>
        <w:tc>
          <w:tcPr>
            <w:tcW w:w="1418" w:type="dxa"/>
          </w:tcPr>
          <w:p w:rsidR="007A205D" w:rsidRPr="007A205D" w:rsidRDefault="007A205D" w:rsidP="007A205D">
            <w:pPr>
              <w:rPr>
                <w:rFonts w:cstheme="minorHAnsi"/>
                <w:sz w:val="22"/>
              </w:rPr>
            </w:pPr>
            <w:r w:rsidRPr="007A205D">
              <w:rPr>
                <w:rFonts w:cstheme="minorHAnsi"/>
                <w:sz w:val="22"/>
              </w:rPr>
              <w:t>December 2028</w:t>
            </w:r>
          </w:p>
        </w:tc>
      </w:tr>
      <w:tr w:rsidR="007A205D" w:rsidRPr="007A205D" w:rsidTr="007A205D">
        <w:trPr>
          <w:trHeight w:val="54"/>
        </w:trPr>
        <w:tc>
          <w:tcPr>
            <w:tcW w:w="2405" w:type="dxa"/>
            <w:vMerge/>
          </w:tcPr>
          <w:p w:rsidR="007A205D" w:rsidRPr="007A205D" w:rsidRDefault="007A205D" w:rsidP="007A205D">
            <w:pPr>
              <w:rPr>
                <w:rFonts w:cstheme="minorHAnsi"/>
                <w:sz w:val="22"/>
              </w:rPr>
            </w:pPr>
          </w:p>
        </w:tc>
        <w:tc>
          <w:tcPr>
            <w:tcW w:w="2126" w:type="dxa"/>
            <w:vMerge w:val="restart"/>
          </w:tcPr>
          <w:p w:rsidR="007A205D" w:rsidRPr="007A205D" w:rsidRDefault="007A205D" w:rsidP="007A205D">
            <w:pPr>
              <w:rPr>
                <w:rFonts w:cstheme="minorHAnsi"/>
                <w:sz w:val="22"/>
              </w:rPr>
            </w:pPr>
            <w:r w:rsidRPr="007A205D">
              <w:rPr>
                <w:rFonts w:cstheme="minorHAnsi"/>
                <w:sz w:val="22"/>
              </w:rPr>
              <w:t xml:space="preserve">Create and grow a Diversity, Equity &amp; Inclusion Advisory Group (DEIAG), reporting directly to </w:t>
            </w:r>
            <w:r w:rsidR="00F671B7">
              <w:rPr>
                <w:rFonts w:cstheme="minorHAnsi"/>
                <w:sz w:val="22"/>
              </w:rPr>
              <w:t>Aquatics GB</w:t>
            </w:r>
            <w:r w:rsidRPr="007A205D">
              <w:rPr>
                <w:rFonts w:cstheme="minorHAnsi"/>
                <w:sz w:val="22"/>
              </w:rPr>
              <w:t xml:space="preserve"> Board.</w:t>
            </w:r>
          </w:p>
          <w:p w:rsidR="007A205D" w:rsidRPr="007A205D" w:rsidRDefault="007A205D" w:rsidP="007A205D">
            <w:pPr>
              <w:rPr>
                <w:rFonts w:cstheme="minorHAnsi"/>
                <w:sz w:val="22"/>
              </w:rPr>
            </w:pPr>
          </w:p>
          <w:p w:rsidR="007A205D" w:rsidRDefault="007A205D" w:rsidP="007A205D">
            <w:pPr>
              <w:rPr>
                <w:rFonts w:cstheme="minorHAnsi"/>
                <w:b/>
                <w:sz w:val="22"/>
                <w:u w:val="single"/>
              </w:rPr>
            </w:pPr>
            <w:r w:rsidRPr="007A205D">
              <w:rPr>
                <w:rFonts w:cstheme="minorHAnsi"/>
                <w:b/>
                <w:sz w:val="22"/>
                <w:u w:val="single"/>
              </w:rPr>
              <w:t>DEIAG Terms of Reference</w:t>
            </w:r>
          </w:p>
          <w:p w:rsidR="008C1D21" w:rsidRPr="007A205D" w:rsidRDefault="008C1D21" w:rsidP="007A205D">
            <w:pPr>
              <w:rPr>
                <w:rFonts w:cstheme="minorHAnsi"/>
                <w:b/>
                <w:sz w:val="22"/>
                <w:u w:val="single"/>
              </w:rPr>
            </w:pPr>
          </w:p>
        </w:tc>
        <w:tc>
          <w:tcPr>
            <w:tcW w:w="10490" w:type="dxa"/>
            <w:gridSpan w:val="4"/>
          </w:tcPr>
          <w:p w:rsidR="007A205D" w:rsidRPr="007A205D" w:rsidRDefault="007A205D" w:rsidP="007A205D">
            <w:pPr>
              <w:rPr>
                <w:rFonts w:cstheme="minorHAnsi"/>
                <w:sz w:val="22"/>
              </w:rPr>
            </w:pPr>
            <w:r w:rsidRPr="007A205D">
              <w:rPr>
                <w:rFonts w:cstheme="minorHAnsi"/>
                <w:sz w:val="22"/>
              </w:rPr>
              <w:t>Short Term:</w:t>
            </w:r>
          </w:p>
        </w:tc>
      </w:tr>
      <w:tr w:rsidR="007A205D" w:rsidRPr="007A205D" w:rsidTr="007A205D">
        <w:trPr>
          <w:trHeight w:val="418"/>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2.12 Board-approved initial Terms of Reference for DEIAG.</w:t>
            </w:r>
          </w:p>
        </w:tc>
        <w:tc>
          <w:tcPr>
            <w:tcW w:w="1984" w:type="dxa"/>
          </w:tcPr>
          <w:p w:rsidR="007A205D" w:rsidRPr="007A205D" w:rsidRDefault="007A205D" w:rsidP="007A205D">
            <w:pPr>
              <w:rPr>
                <w:rFonts w:cstheme="minorHAnsi"/>
                <w:sz w:val="22"/>
              </w:rPr>
            </w:pPr>
            <w:r w:rsidRPr="007A205D">
              <w:rPr>
                <w:rFonts w:cstheme="minorHAnsi"/>
                <w:sz w:val="22"/>
              </w:rPr>
              <w:t>Board</w:t>
            </w:r>
          </w:p>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EDBA&amp;GC</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An agreed ToR approved by the Board and wider DEI staff.</w:t>
            </w:r>
          </w:p>
        </w:tc>
        <w:tc>
          <w:tcPr>
            <w:tcW w:w="1418" w:type="dxa"/>
          </w:tcPr>
          <w:p w:rsidR="007A205D" w:rsidRPr="007A205D" w:rsidRDefault="007A205D" w:rsidP="007A205D">
            <w:pPr>
              <w:rPr>
                <w:rFonts w:cstheme="minorHAnsi"/>
                <w:sz w:val="22"/>
              </w:rPr>
            </w:pPr>
            <w:r w:rsidRPr="007A205D">
              <w:rPr>
                <w:rFonts w:cstheme="minorHAnsi"/>
                <w:sz w:val="22"/>
              </w:rPr>
              <w:t>March 2024</w:t>
            </w:r>
          </w:p>
        </w:tc>
      </w:tr>
      <w:tr w:rsidR="007A205D" w:rsidRPr="007A205D" w:rsidTr="007A205D">
        <w:trPr>
          <w:trHeight w:val="418"/>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2.13 Recruit an inclusive DEIAG membership (both internal and external) that brings collective expertise to improve DEI across the organisation.</w:t>
            </w:r>
          </w:p>
        </w:tc>
        <w:tc>
          <w:tcPr>
            <w:tcW w:w="1984" w:type="dxa"/>
          </w:tcPr>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r w:rsidRPr="007A205D">
              <w:rPr>
                <w:rFonts w:cstheme="minorHAnsi"/>
                <w:sz w:val="22"/>
              </w:rPr>
              <w:t>DISR Manager</w:t>
            </w:r>
          </w:p>
        </w:tc>
        <w:tc>
          <w:tcPr>
            <w:tcW w:w="2268" w:type="dxa"/>
          </w:tcPr>
          <w:p w:rsidR="007A205D" w:rsidRDefault="007A205D" w:rsidP="007A205D">
            <w:pPr>
              <w:rPr>
                <w:rFonts w:cstheme="minorHAnsi"/>
                <w:sz w:val="22"/>
              </w:rPr>
            </w:pPr>
            <w:r w:rsidRPr="007A205D">
              <w:rPr>
                <w:rFonts w:cstheme="minorHAnsi"/>
                <w:sz w:val="22"/>
              </w:rPr>
              <w:t>A robust recruitment process to bring expertise to the organisation.</w:t>
            </w:r>
          </w:p>
          <w:p w:rsidR="00630361" w:rsidRPr="007A205D" w:rsidRDefault="00630361" w:rsidP="007A205D">
            <w:pPr>
              <w:rPr>
                <w:rFonts w:cstheme="minorHAnsi"/>
                <w:sz w:val="22"/>
              </w:rPr>
            </w:pP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237"/>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Medium Term:</w:t>
            </w:r>
          </w:p>
        </w:tc>
      </w:tr>
      <w:tr w:rsidR="007A205D" w:rsidRPr="007A205D" w:rsidTr="007A205D">
        <w:trPr>
          <w:trHeight w:val="420"/>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 xml:space="preserve">2.14 Quarterly meetings that discuss and embed DEI conversations and report back to </w:t>
            </w:r>
            <w:r w:rsidR="00F671B7">
              <w:rPr>
                <w:rFonts w:cstheme="minorHAnsi"/>
                <w:sz w:val="22"/>
              </w:rPr>
              <w:t>Aquatics GB</w:t>
            </w:r>
            <w:r w:rsidRPr="007A205D">
              <w:rPr>
                <w:rFonts w:cstheme="minorHAnsi"/>
                <w:sz w:val="22"/>
              </w:rPr>
              <w:t xml:space="preserve"> Board.</w:t>
            </w:r>
          </w:p>
        </w:tc>
        <w:tc>
          <w:tcPr>
            <w:tcW w:w="1984" w:type="dxa"/>
          </w:tcPr>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Board</w:t>
            </w:r>
          </w:p>
        </w:tc>
        <w:tc>
          <w:tcPr>
            <w:tcW w:w="2268" w:type="dxa"/>
          </w:tcPr>
          <w:p w:rsidR="007A205D" w:rsidRPr="007A205D" w:rsidRDefault="007A205D" w:rsidP="007A205D">
            <w:pPr>
              <w:rPr>
                <w:rFonts w:cstheme="minorHAnsi"/>
                <w:sz w:val="22"/>
              </w:rPr>
            </w:pPr>
            <w:r w:rsidRPr="007A205D">
              <w:rPr>
                <w:rFonts w:cstheme="minorHAnsi"/>
                <w:sz w:val="22"/>
              </w:rPr>
              <w:t>A regular opportunity for the DEIAG to feedback and support Board decision making on DEI.</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54"/>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 xml:space="preserve">Long Term: </w:t>
            </w:r>
          </w:p>
        </w:tc>
      </w:tr>
      <w:tr w:rsidR="007A205D" w:rsidRPr="007A205D" w:rsidTr="007A205D">
        <w:trPr>
          <w:trHeight w:val="523"/>
        </w:trPr>
        <w:tc>
          <w:tcPr>
            <w:tcW w:w="2405" w:type="dxa"/>
            <w:vMerge/>
          </w:tcPr>
          <w:p w:rsidR="007A205D" w:rsidRPr="007A205D" w:rsidRDefault="007A205D" w:rsidP="007A205D">
            <w:pPr>
              <w:rPr>
                <w:rFonts w:cstheme="minorHAnsi"/>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2.15 Continuously monitor and hold the organisation to account with its DEI practice in conjunction with DEIAG and Board Champion.</w:t>
            </w:r>
          </w:p>
          <w:p w:rsidR="007A205D" w:rsidRPr="007A205D" w:rsidRDefault="007A205D" w:rsidP="007A205D">
            <w:pPr>
              <w:rPr>
                <w:rFonts w:cstheme="minorHAnsi"/>
                <w:sz w:val="22"/>
              </w:rPr>
            </w:pPr>
          </w:p>
        </w:tc>
        <w:tc>
          <w:tcPr>
            <w:tcW w:w="1984" w:type="dxa"/>
          </w:tcPr>
          <w:p w:rsidR="007A205D" w:rsidRPr="007A205D" w:rsidRDefault="007A205D" w:rsidP="007A205D">
            <w:pPr>
              <w:rPr>
                <w:rFonts w:cstheme="minorHAnsi"/>
                <w:sz w:val="22"/>
              </w:rPr>
            </w:pPr>
            <w:r w:rsidRPr="007A205D">
              <w:rPr>
                <w:rFonts w:cstheme="minorHAnsi"/>
                <w:sz w:val="22"/>
              </w:rPr>
              <w:t>People Team</w:t>
            </w:r>
          </w:p>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 xml:space="preserve">DEIAG </w:t>
            </w:r>
          </w:p>
          <w:p w:rsidR="007A205D" w:rsidRPr="007A205D" w:rsidRDefault="007A205D" w:rsidP="007A205D">
            <w:pPr>
              <w:rPr>
                <w:rFonts w:cstheme="minorHAnsi"/>
                <w:sz w:val="22"/>
              </w:rPr>
            </w:pPr>
            <w:r w:rsidRPr="007A205D">
              <w:rPr>
                <w:rFonts w:cstheme="minorHAnsi"/>
                <w:sz w:val="22"/>
              </w:rPr>
              <w:t>Board</w:t>
            </w:r>
          </w:p>
        </w:tc>
        <w:tc>
          <w:tcPr>
            <w:tcW w:w="2268" w:type="dxa"/>
          </w:tcPr>
          <w:p w:rsidR="007A205D" w:rsidRPr="007A205D" w:rsidRDefault="007A205D" w:rsidP="007A205D">
            <w:pPr>
              <w:rPr>
                <w:rFonts w:cstheme="minorHAnsi"/>
                <w:sz w:val="22"/>
              </w:rPr>
            </w:pPr>
            <w:r w:rsidRPr="007A205D">
              <w:rPr>
                <w:rFonts w:cstheme="minorHAnsi"/>
                <w:sz w:val="22"/>
              </w:rPr>
              <w:t>Continual support from DEIAG and regular advice reported to Board.</w:t>
            </w:r>
          </w:p>
        </w:tc>
        <w:tc>
          <w:tcPr>
            <w:tcW w:w="1418" w:type="dxa"/>
          </w:tcPr>
          <w:p w:rsidR="007A205D" w:rsidRPr="007A205D" w:rsidRDefault="007A205D" w:rsidP="007A205D">
            <w:pPr>
              <w:rPr>
                <w:rFonts w:cstheme="minorHAnsi"/>
                <w:sz w:val="22"/>
              </w:rPr>
            </w:pPr>
            <w:r w:rsidRPr="007A205D">
              <w:rPr>
                <w:rFonts w:cstheme="minorHAnsi"/>
                <w:sz w:val="22"/>
              </w:rPr>
              <w:t>December 2028</w:t>
            </w:r>
          </w:p>
        </w:tc>
      </w:tr>
    </w:tbl>
    <w:p w:rsidR="007A205D" w:rsidRDefault="007A205D" w:rsidP="0086267C"/>
    <w:p w:rsidR="007A205D" w:rsidRDefault="007A205D">
      <w:pPr>
        <w:spacing w:after="160" w:line="259" w:lineRule="auto"/>
      </w:pPr>
      <w:r>
        <w:br w:type="page"/>
      </w:r>
    </w:p>
    <w:tbl>
      <w:tblPr>
        <w:tblStyle w:val="TableGrid"/>
        <w:tblpPr w:leftFromText="180" w:rightFromText="180" w:vertAnchor="text" w:horzAnchor="page" w:tblpX="748" w:tblpY="-605"/>
        <w:tblW w:w="15021" w:type="dxa"/>
        <w:tblLayout w:type="fixed"/>
        <w:tblLook w:val="04A0" w:firstRow="1" w:lastRow="0" w:firstColumn="1" w:lastColumn="0" w:noHBand="0" w:noVBand="1"/>
      </w:tblPr>
      <w:tblGrid>
        <w:gridCol w:w="2405"/>
        <w:gridCol w:w="2126"/>
        <w:gridCol w:w="4820"/>
        <w:gridCol w:w="1984"/>
        <w:gridCol w:w="2268"/>
        <w:gridCol w:w="1418"/>
      </w:tblGrid>
      <w:tr w:rsidR="007A205D" w:rsidRPr="007A205D" w:rsidTr="00E01D30">
        <w:trPr>
          <w:trHeight w:val="377"/>
        </w:trPr>
        <w:tc>
          <w:tcPr>
            <w:tcW w:w="2405"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lastRenderedPageBreak/>
              <w:t>Goals</w:t>
            </w:r>
          </w:p>
        </w:tc>
        <w:tc>
          <w:tcPr>
            <w:tcW w:w="2126"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Objective</w:t>
            </w:r>
          </w:p>
        </w:tc>
        <w:tc>
          <w:tcPr>
            <w:tcW w:w="4820"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Actions</w:t>
            </w:r>
          </w:p>
        </w:tc>
        <w:tc>
          <w:tcPr>
            <w:tcW w:w="1984"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Accountability</w:t>
            </w:r>
          </w:p>
        </w:tc>
        <w:tc>
          <w:tcPr>
            <w:tcW w:w="2268"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Measuring Success</w:t>
            </w:r>
          </w:p>
        </w:tc>
        <w:tc>
          <w:tcPr>
            <w:tcW w:w="1418" w:type="dxa"/>
            <w:shd w:val="clear" w:color="auto" w:fill="FF0A6E" w:themeFill="background2"/>
          </w:tcPr>
          <w:p w:rsidR="007A205D" w:rsidRPr="007A205D" w:rsidRDefault="007A205D" w:rsidP="007A205D">
            <w:pPr>
              <w:rPr>
                <w:rFonts w:cstheme="minorHAnsi"/>
                <w:b/>
                <w:sz w:val="22"/>
              </w:rPr>
            </w:pPr>
            <w:r w:rsidRPr="007A205D">
              <w:rPr>
                <w:rFonts w:cstheme="minorHAnsi"/>
                <w:b/>
                <w:sz w:val="22"/>
              </w:rPr>
              <w:t>By When</w:t>
            </w:r>
          </w:p>
        </w:tc>
      </w:tr>
      <w:tr w:rsidR="007A205D" w:rsidRPr="007A205D" w:rsidTr="007A205D">
        <w:trPr>
          <w:trHeight w:val="131"/>
        </w:trPr>
        <w:tc>
          <w:tcPr>
            <w:tcW w:w="2405" w:type="dxa"/>
            <w:vMerge w:val="restart"/>
          </w:tcPr>
          <w:p w:rsidR="007A205D" w:rsidRPr="007A205D" w:rsidRDefault="007A205D" w:rsidP="007A205D">
            <w:pPr>
              <w:rPr>
                <w:rFonts w:cstheme="minorHAnsi"/>
                <w:b/>
                <w:sz w:val="22"/>
              </w:rPr>
            </w:pPr>
            <w:r w:rsidRPr="007A205D">
              <w:rPr>
                <w:rFonts w:cstheme="minorHAnsi"/>
                <w:b/>
                <w:sz w:val="22"/>
              </w:rPr>
              <w:t>3. Develop the organisations reputation as a socially responsible and diverse company that people want to work for and partner with.</w:t>
            </w:r>
          </w:p>
          <w:p w:rsidR="007A205D" w:rsidRPr="007A205D" w:rsidRDefault="007A205D" w:rsidP="007A205D">
            <w:pPr>
              <w:rPr>
                <w:rFonts w:cstheme="minorHAnsi"/>
                <w:sz w:val="22"/>
              </w:rPr>
            </w:pPr>
          </w:p>
          <w:p w:rsidR="007A205D" w:rsidRPr="007A205D" w:rsidRDefault="007A205D" w:rsidP="007A205D">
            <w:pPr>
              <w:rPr>
                <w:rFonts w:cstheme="minorHAnsi"/>
                <w:i/>
                <w:sz w:val="22"/>
              </w:rPr>
            </w:pPr>
            <w:r w:rsidRPr="007A205D">
              <w:rPr>
                <w:rFonts w:cstheme="minorHAnsi"/>
                <w:i/>
                <w:sz w:val="22"/>
              </w:rPr>
              <w:t>Advocate, communicate and educate</w:t>
            </w:r>
          </w:p>
        </w:tc>
        <w:tc>
          <w:tcPr>
            <w:tcW w:w="2126" w:type="dxa"/>
            <w:vMerge w:val="restart"/>
          </w:tcPr>
          <w:p w:rsidR="007A205D" w:rsidRPr="007A205D" w:rsidRDefault="007A205D" w:rsidP="007A205D">
            <w:pPr>
              <w:rPr>
                <w:rFonts w:cstheme="minorHAnsi"/>
                <w:sz w:val="22"/>
              </w:rPr>
            </w:pPr>
            <w:r w:rsidRPr="007A205D">
              <w:rPr>
                <w:rFonts w:cstheme="minorHAnsi"/>
                <w:sz w:val="22"/>
              </w:rPr>
              <w:t>Boost knowledge and meaningful engagement with a broader lens of socie</w:t>
            </w:r>
            <w:r w:rsidR="00630361">
              <w:rPr>
                <w:rFonts w:cstheme="minorHAnsi"/>
                <w:sz w:val="22"/>
              </w:rPr>
              <w:t>ty (external education/ influence</w:t>
            </w:r>
            <w:r w:rsidRPr="007A205D">
              <w:rPr>
                <w:rFonts w:cstheme="minorHAnsi"/>
                <w:sz w:val="22"/>
              </w:rPr>
              <w:t>).</w:t>
            </w:r>
          </w:p>
        </w:tc>
        <w:tc>
          <w:tcPr>
            <w:tcW w:w="10490" w:type="dxa"/>
            <w:gridSpan w:val="4"/>
          </w:tcPr>
          <w:p w:rsidR="007A205D" w:rsidRPr="007A205D" w:rsidRDefault="007A205D" w:rsidP="007A205D">
            <w:pPr>
              <w:rPr>
                <w:rFonts w:cstheme="minorHAnsi"/>
                <w:sz w:val="22"/>
              </w:rPr>
            </w:pPr>
            <w:r w:rsidRPr="007A205D">
              <w:rPr>
                <w:rFonts w:cstheme="minorHAnsi"/>
                <w:sz w:val="22"/>
              </w:rPr>
              <w:t>Short term:</w:t>
            </w:r>
          </w:p>
        </w:tc>
      </w:tr>
      <w:tr w:rsidR="007A205D" w:rsidRPr="007A205D" w:rsidTr="007A205D">
        <w:trPr>
          <w:trHeight w:val="600"/>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3.1 Embed DEI in the organisations communications strategy to ensure representation on internal and external platforms.</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tc>
        <w:tc>
          <w:tcPr>
            <w:tcW w:w="2268" w:type="dxa"/>
          </w:tcPr>
          <w:p w:rsidR="007A205D" w:rsidRPr="007A205D" w:rsidRDefault="007A205D" w:rsidP="007A205D">
            <w:pPr>
              <w:rPr>
                <w:rFonts w:cstheme="minorHAnsi"/>
                <w:sz w:val="22"/>
              </w:rPr>
            </w:pPr>
            <w:r w:rsidRPr="007A205D">
              <w:rPr>
                <w:rFonts w:cstheme="minorHAnsi"/>
                <w:sz w:val="22"/>
              </w:rPr>
              <w:t xml:space="preserve">A clear strand of DEI good practice and intended work within </w:t>
            </w:r>
            <w:proofErr w:type="spellStart"/>
            <w:r w:rsidRPr="007A205D">
              <w:rPr>
                <w:rFonts w:cstheme="minorHAnsi"/>
                <w:sz w:val="22"/>
              </w:rPr>
              <w:t>comms</w:t>
            </w:r>
            <w:proofErr w:type="spellEnd"/>
            <w:r w:rsidRPr="007A205D">
              <w:rPr>
                <w:rFonts w:cstheme="minorHAnsi"/>
                <w:sz w:val="22"/>
              </w:rPr>
              <w:t xml:space="preserve"> strategy.</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499"/>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3.2 Regularly advocate in internal and external communications through a continually monitored inclusion calendar. To include internal stories from staff/athletes.</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p w:rsidR="007A205D" w:rsidRPr="007A205D" w:rsidRDefault="007A205D" w:rsidP="007A205D">
            <w:pPr>
              <w:rPr>
                <w:rFonts w:cstheme="minorHAnsi"/>
                <w:sz w:val="22"/>
              </w:rPr>
            </w:pPr>
            <w:r w:rsidRPr="007A205D">
              <w:rPr>
                <w:rFonts w:cstheme="minorHAnsi"/>
                <w:sz w:val="22"/>
              </w:rPr>
              <w:t>DISR Manager</w:t>
            </w:r>
          </w:p>
        </w:tc>
        <w:tc>
          <w:tcPr>
            <w:tcW w:w="2268" w:type="dxa"/>
          </w:tcPr>
          <w:p w:rsidR="007A205D" w:rsidRPr="007A205D" w:rsidRDefault="007A205D" w:rsidP="007A205D">
            <w:pPr>
              <w:rPr>
                <w:rFonts w:cstheme="minorHAnsi"/>
                <w:sz w:val="22"/>
              </w:rPr>
            </w:pPr>
            <w:r w:rsidRPr="007A205D">
              <w:rPr>
                <w:rFonts w:cstheme="minorHAnsi"/>
                <w:sz w:val="22"/>
              </w:rPr>
              <w:t>Develop clear communication calendar and cultural event activation developed in conjunction with DEIAG and survey results and key priorities, aligned with protected characteristics.</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107"/>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Medium term:</w:t>
            </w:r>
          </w:p>
        </w:tc>
      </w:tr>
      <w:tr w:rsidR="007A205D" w:rsidRPr="007A205D" w:rsidTr="007A205D">
        <w:trPr>
          <w:trHeight w:val="600"/>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3.3 Conduct an internal communications audit to ensure it’s reflective of wider society and fully accessible for all abilities to engage with.</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p w:rsidR="007A205D" w:rsidRPr="007A205D" w:rsidRDefault="007A205D" w:rsidP="007A205D">
            <w:pPr>
              <w:rPr>
                <w:rFonts w:cstheme="minorHAnsi"/>
                <w:sz w:val="22"/>
              </w:rPr>
            </w:pPr>
            <w:r w:rsidRPr="007A205D">
              <w:rPr>
                <w:rFonts w:cstheme="minorHAnsi"/>
                <w:sz w:val="22"/>
              </w:rPr>
              <w:t>DISR Manager</w:t>
            </w:r>
          </w:p>
          <w:p w:rsidR="007A205D" w:rsidRPr="007A205D" w:rsidRDefault="007A205D" w:rsidP="007A205D">
            <w:pPr>
              <w:rPr>
                <w:rFonts w:cstheme="minorHAnsi"/>
                <w:sz w:val="22"/>
              </w:rPr>
            </w:pPr>
            <w:r w:rsidRPr="007A205D">
              <w:rPr>
                <w:rFonts w:cstheme="minorHAnsi"/>
                <w:sz w:val="22"/>
              </w:rPr>
              <w:t>External input</w:t>
            </w:r>
          </w:p>
        </w:tc>
        <w:tc>
          <w:tcPr>
            <w:tcW w:w="2268" w:type="dxa"/>
          </w:tcPr>
          <w:p w:rsidR="007A205D" w:rsidRPr="007A205D" w:rsidRDefault="007A205D" w:rsidP="007A205D">
            <w:pPr>
              <w:rPr>
                <w:rFonts w:cstheme="minorHAnsi"/>
                <w:sz w:val="22"/>
              </w:rPr>
            </w:pPr>
            <w:r w:rsidRPr="007A205D">
              <w:rPr>
                <w:rFonts w:cstheme="minorHAnsi"/>
                <w:sz w:val="22"/>
              </w:rPr>
              <w:t>Develop a communications checklist of accessibility requirements for all posts, including imagery and alternative text on pictures as standard.</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600"/>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3.4 Embed diversity and inclusion best practice within communications team strategy.</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tc>
        <w:tc>
          <w:tcPr>
            <w:tcW w:w="2268" w:type="dxa"/>
          </w:tcPr>
          <w:p w:rsidR="007A205D" w:rsidRDefault="007A205D" w:rsidP="007A205D">
            <w:pPr>
              <w:rPr>
                <w:rFonts w:cstheme="minorHAnsi"/>
                <w:sz w:val="22"/>
              </w:rPr>
            </w:pPr>
            <w:r w:rsidRPr="007A205D">
              <w:rPr>
                <w:rFonts w:cstheme="minorHAnsi"/>
                <w:sz w:val="22"/>
              </w:rPr>
              <w:t xml:space="preserve">Clear outline of </w:t>
            </w:r>
            <w:proofErr w:type="spellStart"/>
            <w:r w:rsidRPr="007A205D">
              <w:rPr>
                <w:rFonts w:cstheme="minorHAnsi"/>
                <w:sz w:val="22"/>
              </w:rPr>
              <w:t>comms</w:t>
            </w:r>
            <w:proofErr w:type="spellEnd"/>
            <w:r w:rsidRPr="007A205D">
              <w:rPr>
                <w:rFonts w:cstheme="minorHAnsi"/>
                <w:sz w:val="22"/>
              </w:rPr>
              <w:t xml:space="preserve"> plan around DEI in </w:t>
            </w:r>
            <w:proofErr w:type="spellStart"/>
            <w:r w:rsidRPr="007A205D">
              <w:rPr>
                <w:rFonts w:cstheme="minorHAnsi"/>
                <w:sz w:val="22"/>
              </w:rPr>
              <w:t>comms</w:t>
            </w:r>
            <w:proofErr w:type="spellEnd"/>
            <w:r w:rsidRPr="007A205D">
              <w:rPr>
                <w:rFonts w:cstheme="minorHAnsi"/>
                <w:sz w:val="22"/>
              </w:rPr>
              <w:t xml:space="preserve"> strategy.</w:t>
            </w:r>
          </w:p>
          <w:p w:rsidR="008479CE" w:rsidRDefault="008479CE" w:rsidP="007A205D">
            <w:pPr>
              <w:rPr>
                <w:rFonts w:cstheme="minorHAnsi"/>
                <w:sz w:val="22"/>
              </w:rPr>
            </w:pPr>
          </w:p>
          <w:p w:rsidR="008479CE" w:rsidRDefault="008479CE" w:rsidP="007A205D">
            <w:pPr>
              <w:rPr>
                <w:rFonts w:cstheme="minorHAnsi"/>
                <w:sz w:val="22"/>
              </w:rPr>
            </w:pPr>
          </w:p>
          <w:p w:rsidR="008479CE" w:rsidRPr="007A205D" w:rsidRDefault="008479CE" w:rsidP="007A205D">
            <w:pPr>
              <w:rPr>
                <w:rFonts w:cstheme="minorHAnsi"/>
                <w:sz w:val="22"/>
              </w:rPr>
            </w:pP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160"/>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Long term:</w:t>
            </w:r>
          </w:p>
        </w:tc>
      </w:tr>
      <w:tr w:rsidR="007A205D" w:rsidRPr="007A205D" w:rsidTr="007A205D">
        <w:trPr>
          <w:trHeight w:val="1094"/>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3.5 Continuously monitor and to ensure organisation is up to date and aware of latest DEI practice.</w:t>
            </w:r>
          </w:p>
        </w:tc>
        <w:tc>
          <w:tcPr>
            <w:tcW w:w="1984" w:type="dxa"/>
          </w:tcPr>
          <w:p w:rsidR="007A205D" w:rsidRPr="007A205D" w:rsidRDefault="007A205D" w:rsidP="007A205D">
            <w:pPr>
              <w:rPr>
                <w:rFonts w:cstheme="minorHAnsi"/>
                <w:sz w:val="22"/>
              </w:rPr>
            </w:pPr>
            <w:proofErr w:type="spellStart"/>
            <w:r w:rsidRPr="007A205D">
              <w:rPr>
                <w:rFonts w:cstheme="minorHAnsi"/>
                <w:sz w:val="22"/>
              </w:rPr>
              <w:t>Comms</w:t>
            </w:r>
            <w:proofErr w:type="spellEnd"/>
            <w:r w:rsidRPr="007A205D">
              <w:rPr>
                <w:rFonts w:cstheme="minorHAnsi"/>
                <w:sz w:val="22"/>
              </w:rPr>
              <w:t xml:space="preserve"> Team</w:t>
            </w:r>
          </w:p>
        </w:tc>
        <w:tc>
          <w:tcPr>
            <w:tcW w:w="2268" w:type="dxa"/>
          </w:tcPr>
          <w:p w:rsidR="007A205D" w:rsidRPr="007A205D" w:rsidRDefault="007A205D" w:rsidP="007A205D">
            <w:pPr>
              <w:rPr>
                <w:rFonts w:cstheme="minorHAnsi"/>
                <w:sz w:val="22"/>
              </w:rPr>
            </w:pPr>
            <w:r w:rsidRPr="007A205D">
              <w:rPr>
                <w:rFonts w:cstheme="minorHAnsi"/>
                <w:sz w:val="22"/>
              </w:rPr>
              <w:t>Emphasis on inclusion during planning for DEI content.</w:t>
            </w:r>
          </w:p>
          <w:p w:rsidR="007A205D" w:rsidRPr="007A205D" w:rsidRDefault="007A205D" w:rsidP="007A205D">
            <w:pPr>
              <w:rPr>
                <w:rFonts w:cstheme="minorHAnsi"/>
                <w:sz w:val="22"/>
              </w:rPr>
            </w:pPr>
          </w:p>
          <w:p w:rsidR="007A205D" w:rsidRPr="007A205D" w:rsidRDefault="007A205D" w:rsidP="007A205D">
            <w:pPr>
              <w:rPr>
                <w:rFonts w:cstheme="minorHAnsi"/>
                <w:sz w:val="22"/>
              </w:rPr>
            </w:pPr>
          </w:p>
        </w:tc>
        <w:tc>
          <w:tcPr>
            <w:tcW w:w="1418" w:type="dxa"/>
          </w:tcPr>
          <w:p w:rsidR="007A205D" w:rsidRPr="007A205D" w:rsidRDefault="007A205D" w:rsidP="007A205D">
            <w:pPr>
              <w:rPr>
                <w:rFonts w:cstheme="minorHAnsi"/>
                <w:sz w:val="22"/>
              </w:rPr>
            </w:pPr>
            <w:r w:rsidRPr="007A205D">
              <w:rPr>
                <w:rFonts w:cstheme="minorHAnsi"/>
                <w:sz w:val="22"/>
              </w:rPr>
              <w:t>December 2028</w:t>
            </w:r>
          </w:p>
        </w:tc>
      </w:tr>
      <w:tr w:rsidR="007A205D" w:rsidRPr="007A205D" w:rsidTr="007A205D">
        <w:trPr>
          <w:trHeight w:val="138"/>
        </w:trPr>
        <w:tc>
          <w:tcPr>
            <w:tcW w:w="2405" w:type="dxa"/>
            <w:vMerge/>
          </w:tcPr>
          <w:p w:rsidR="007A205D" w:rsidRPr="007A205D" w:rsidRDefault="007A205D" w:rsidP="007A205D">
            <w:pPr>
              <w:rPr>
                <w:rFonts w:cstheme="minorHAnsi"/>
                <w:b/>
                <w:sz w:val="22"/>
              </w:rPr>
            </w:pPr>
          </w:p>
        </w:tc>
        <w:tc>
          <w:tcPr>
            <w:tcW w:w="2126" w:type="dxa"/>
            <w:vMerge w:val="restart"/>
          </w:tcPr>
          <w:p w:rsidR="007A205D" w:rsidRPr="007A205D" w:rsidRDefault="007A205D" w:rsidP="007A205D">
            <w:pPr>
              <w:rPr>
                <w:rFonts w:cstheme="minorHAnsi"/>
                <w:sz w:val="22"/>
              </w:rPr>
            </w:pPr>
            <w:r w:rsidRPr="007A205D">
              <w:rPr>
                <w:rFonts w:cstheme="minorHAnsi"/>
                <w:sz w:val="22"/>
              </w:rPr>
              <w:t xml:space="preserve">Engage in outreach and partnerships with </w:t>
            </w:r>
            <w:r w:rsidR="00F671B7">
              <w:rPr>
                <w:rFonts w:cstheme="minorHAnsi"/>
                <w:sz w:val="22"/>
              </w:rPr>
              <w:t>Aquatics GB</w:t>
            </w:r>
            <w:r w:rsidRPr="007A205D">
              <w:rPr>
                <w:rFonts w:cstheme="minorHAnsi"/>
                <w:sz w:val="22"/>
              </w:rPr>
              <w:t xml:space="preserve"> to champion DEI.</w:t>
            </w:r>
          </w:p>
        </w:tc>
        <w:tc>
          <w:tcPr>
            <w:tcW w:w="10490" w:type="dxa"/>
            <w:gridSpan w:val="4"/>
          </w:tcPr>
          <w:p w:rsidR="007A205D" w:rsidRPr="007A205D" w:rsidRDefault="007A205D" w:rsidP="007A205D">
            <w:pPr>
              <w:rPr>
                <w:rFonts w:cstheme="minorHAnsi"/>
                <w:sz w:val="22"/>
              </w:rPr>
            </w:pPr>
            <w:r w:rsidRPr="007A205D">
              <w:rPr>
                <w:rFonts w:cstheme="minorHAnsi"/>
                <w:sz w:val="22"/>
              </w:rPr>
              <w:t>Short Term:</w:t>
            </w:r>
          </w:p>
        </w:tc>
      </w:tr>
      <w:tr w:rsidR="007A205D" w:rsidRPr="007A205D" w:rsidTr="007A205D">
        <w:trPr>
          <w:trHeight w:val="132"/>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3.6 Map commercial partners and outreach opportunities to strategic topics and identify relevant focus areas to collaborate on.</w:t>
            </w:r>
          </w:p>
        </w:tc>
        <w:tc>
          <w:tcPr>
            <w:tcW w:w="1984" w:type="dxa"/>
          </w:tcPr>
          <w:p w:rsidR="007A205D" w:rsidRPr="007A205D" w:rsidRDefault="007A205D" w:rsidP="007A205D">
            <w:pPr>
              <w:rPr>
                <w:rFonts w:cstheme="minorHAnsi"/>
                <w:sz w:val="22"/>
              </w:rPr>
            </w:pPr>
            <w:r w:rsidRPr="007A205D">
              <w:rPr>
                <w:rFonts w:cstheme="minorHAnsi"/>
                <w:sz w:val="22"/>
              </w:rPr>
              <w:t>EDBA&amp;GC</w:t>
            </w:r>
          </w:p>
          <w:p w:rsidR="007A205D" w:rsidRPr="007A205D" w:rsidRDefault="007A205D" w:rsidP="007A205D">
            <w:pPr>
              <w:rPr>
                <w:rFonts w:cstheme="minorHAnsi"/>
                <w:sz w:val="22"/>
              </w:rPr>
            </w:pPr>
            <w:r w:rsidRPr="007A205D">
              <w:rPr>
                <w:rFonts w:cstheme="minorHAnsi"/>
                <w:sz w:val="22"/>
              </w:rPr>
              <w:t>CEO</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Identify partner strengths on collaborative working around DEI practices.</w:t>
            </w:r>
          </w:p>
        </w:tc>
        <w:tc>
          <w:tcPr>
            <w:tcW w:w="1418" w:type="dxa"/>
          </w:tcPr>
          <w:p w:rsidR="007A205D" w:rsidRPr="007A205D" w:rsidRDefault="007A205D" w:rsidP="007A205D">
            <w:pPr>
              <w:rPr>
                <w:rFonts w:cstheme="minorHAnsi"/>
                <w:sz w:val="22"/>
              </w:rPr>
            </w:pPr>
            <w:r w:rsidRPr="007A205D">
              <w:rPr>
                <w:rFonts w:cstheme="minorHAnsi"/>
                <w:sz w:val="22"/>
              </w:rPr>
              <w:t>December 2024</w:t>
            </w:r>
          </w:p>
        </w:tc>
      </w:tr>
      <w:tr w:rsidR="007A205D" w:rsidRPr="007A205D" w:rsidTr="007A205D">
        <w:trPr>
          <w:trHeight w:val="238"/>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Medium Term:</w:t>
            </w:r>
          </w:p>
        </w:tc>
      </w:tr>
      <w:tr w:rsidR="007A205D" w:rsidRPr="007A205D" w:rsidTr="007A205D">
        <w:trPr>
          <w:trHeight w:val="837"/>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7A205D">
            <w:pPr>
              <w:rPr>
                <w:rFonts w:cstheme="minorHAnsi"/>
                <w:sz w:val="22"/>
              </w:rPr>
            </w:pPr>
            <w:r w:rsidRPr="007A205D">
              <w:rPr>
                <w:rFonts w:cstheme="minorHAnsi"/>
                <w:sz w:val="22"/>
              </w:rPr>
              <w:t>3.7 Identify and engage with partners to identify relevant strategy topics for collaboration and understand their position and capacity to support.</w:t>
            </w:r>
          </w:p>
        </w:tc>
        <w:tc>
          <w:tcPr>
            <w:tcW w:w="1984" w:type="dxa"/>
          </w:tcPr>
          <w:p w:rsidR="007A205D" w:rsidRPr="007A205D" w:rsidRDefault="007A205D" w:rsidP="007A205D">
            <w:pPr>
              <w:rPr>
                <w:rFonts w:cstheme="minorHAnsi"/>
                <w:sz w:val="22"/>
              </w:rPr>
            </w:pPr>
            <w:r w:rsidRPr="007A205D">
              <w:rPr>
                <w:rFonts w:cstheme="minorHAnsi"/>
                <w:sz w:val="22"/>
              </w:rPr>
              <w:t>Partnerships</w:t>
            </w:r>
          </w:p>
          <w:p w:rsidR="007A205D" w:rsidRPr="007A205D" w:rsidRDefault="007A205D" w:rsidP="007A205D">
            <w:pPr>
              <w:rPr>
                <w:rFonts w:cstheme="minorHAnsi"/>
                <w:sz w:val="22"/>
              </w:rPr>
            </w:pPr>
            <w:r w:rsidRPr="007A205D">
              <w:rPr>
                <w:rFonts w:cstheme="minorHAnsi"/>
                <w:sz w:val="22"/>
              </w:rPr>
              <w:t>DISR Manager</w:t>
            </w:r>
          </w:p>
        </w:tc>
        <w:tc>
          <w:tcPr>
            <w:tcW w:w="2268" w:type="dxa"/>
          </w:tcPr>
          <w:p w:rsidR="007A205D" w:rsidRPr="007A205D" w:rsidRDefault="007A205D" w:rsidP="007A205D">
            <w:pPr>
              <w:rPr>
                <w:rFonts w:cstheme="minorHAnsi"/>
                <w:sz w:val="22"/>
              </w:rPr>
            </w:pPr>
            <w:r w:rsidRPr="007A205D">
              <w:rPr>
                <w:rFonts w:cstheme="minorHAnsi"/>
                <w:sz w:val="22"/>
              </w:rPr>
              <w:t>Working with athletes and outreach partnership to amplify messages around DEI work and importance to the organisation.</w:t>
            </w:r>
          </w:p>
        </w:tc>
        <w:tc>
          <w:tcPr>
            <w:tcW w:w="1418" w:type="dxa"/>
          </w:tcPr>
          <w:p w:rsidR="007A205D" w:rsidRPr="007A205D" w:rsidRDefault="007A205D" w:rsidP="007A205D">
            <w:pPr>
              <w:rPr>
                <w:rFonts w:cstheme="minorHAnsi"/>
                <w:sz w:val="22"/>
              </w:rPr>
            </w:pPr>
            <w:r w:rsidRPr="007A205D">
              <w:rPr>
                <w:rFonts w:cstheme="minorHAnsi"/>
                <w:sz w:val="22"/>
              </w:rPr>
              <w:t>December 2025</w:t>
            </w:r>
          </w:p>
        </w:tc>
      </w:tr>
      <w:tr w:rsidR="007A205D" w:rsidRPr="007A205D" w:rsidTr="007A205D">
        <w:trPr>
          <w:trHeight w:val="80"/>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10490" w:type="dxa"/>
            <w:gridSpan w:val="4"/>
          </w:tcPr>
          <w:p w:rsidR="007A205D" w:rsidRPr="007A205D" w:rsidRDefault="007A205D" w:rsidP="007A205D">
            <w:pPr>
              <w:rPr>
                <w:rFonts w:cstheme="minorHAnsi"/>
                <w:sz w:val="22"/>
              </w:rPr>
            </w:pPr>
            <w:r w:rsidRPr="007A205D">
              <w:rPr>
                <w:rFonts w:cstheme="minorHAnsi"/>
                <w:sz w:val="22"/>
              </w:rPr>
              <w:t>Long Term:</w:t>
            </w:r>
          </w:p>
        </w:tc>
      </w:tr>
      <w:tr w:rsidR="007A205D" w:rsidRPr="007A205D" w:rsidTr="007A205D">
        <w:trPr>
          <w:trHeight w:val="854"/>
        </w:trPr>
        <w:tc>
          <w:tcPr>
            <w:tcW w:w="2405" w:type="dxa"/>
            <w:vMerge/>
          </w:tcPr>
          <w:p w:rsidR="007A205D" w:rsidRPr="007A205D" w:rsidRDefault="007A205D" w:rsidP="007A205D">
            <w:pPr>
              <w:rPr>
                <w:rFonts w:cstheme="minorHAnsi"/>
                <w:b/>
                <w:sz w:val="22"/>
              </w:rPr>
            </w:pPr>
          </w:p>
        </w:tc>
        <w:tc>
          <w:tcPr>
            <w:tcW w:w="2126" w:type="dxa"/>
            <w:vMerge/>
          </w:tcPr>
          <w:p w:rsidR="007A205D" w:rsidRPr="007A205D" w:rsidRDefault="007A205D" w:rsidP="007A205D">
            <w:pPr>
              <w:rPr>
                <w:rFonts w:cstheme="minorHAnsi"/>
                <w:sz w:val="22"/>
              </w:rPr>
            </w:pPr>
          </w:p>
        </w:tc>
        <w:tc>
          <w:tcPr>
            <w:tcW w:w="4820" w:type="dxa"/>
          </w:tcPr>
          <w:p w:rsidR="007A205D" w:rsidRPr="007A205D" w:rsidRDefault="007A205D" w:rsidP="00E01D30">
            <w:pPr>
              <w:rPr>
                <w:rFonts w:cstheme="minorHAnsi"/>
                <w:sz w:val="22"/>
              </w:rPr>
            </w:pPr>
            <w:r w:rsidRPr="007A205D">
              <w:rPr>
                <w:rFonts w:cstheme="minorHAnsi"/>
                <w:sz w:val="22"/>
              </w:rPr>
              <w:t xml:space="preserve">3.8 Influence 100% of commercial partners to demonstrate alignment to the </w:t>
            </w:r>
            <w:r w:rsidR="00E01D30">
              <w:rPr>
                <w:rFonts w:cstheme="minorHAnsi"/>
                <w:sz w:val="22"/>
              </w:rPr>
              <w:t>DEIAP</w:t>
            </w:r>
            <w:r w:rsidRPr="007A205D">
              <w:rPr>
                <w:rFonts w:cstheme="minorHAnsi"/>
                <w:sz w:val="22"/>
              </w:rPr>
              <w:t xml:space="preserve"> by 2025.</w:t>
            </w:r>
          </w:p>
        </w:tc>
        <w:tc>
          <w:tcPr>
            <w:tcW w:w="1984" w:type="dxa"/>
          </w:tcPr>
          <w:p w:rsidR="007A205D" w:rsidRPr="007A205D" w:rsidRDefault="007A205D" w:rsidP="007A205D">
            <w:pPr>
              <w:rPr>
                <w:rFonts w:cstheme="minorHAnsi"/>
                <w:sz w:val="22"/>
              </w:rPr>
            </w:pPr>
            <w:r w:rsidRPr="007A205D">
              <w:rPr>
                <w:rFonts w:cstheme="minorHAnsi"/>
                <w:sz w:val="22"/>
              </w:rPr>
              <w:t>Partnerships</w:t>
            </w:r>
          </w:p>
          <w:p w:rsidR="007A205D" w:rsidRPr="007A205D" w:rsidRDefault="007A205D" w:rsidP="007A205D">
            <w:pPr>
              <w:rPr>
                <w:rFonts w:cstheme="minorHAnsi"/>
                <w:sz w:val="22"/>
              </w:rPr>
            </w:pPr>
          </w:p>
        </w:tc>
        <w:tc>
          <w:tcPr>
            <w:tcW w:w="2268" w:type="dxa"/>
          </w:tcPr>
          <w:p w:rsidR="007A205D" w:rsidRPr="007A205D" w:rsidRDefault="007A205D" w:rsidP="007A205D">
            <w:pPr>
              <w:rPr>
                <w:rFonts w:cstheme="minorHAnsi"/>
                <w:sz w:val="22"/>
              </w:rPr>
            </w:pPr>
            <w:r w:rsidRPr="007A205D">
              <w:rPr>
                <w:rFonts w:cstheme="minorHAnsi"/>
                <w:sz w:val="22"/>
              </w:rPr>
              <w:t>Develop and ensure all new partnerships with the organisation commit to supporting and developing BS DEI Strategy.</w:t>
            </w:r>
          </w:p>
        </w:tc>
        <w:tc>
          <w:tcPr>
            <w:tcW w:w="1418" w:type="dxa"/>
          </w:tcPr>
          <w:p w:rsidR="007A205D" w:rsidRPr="007A205D" w:rsidRDefault="007A205D" w:rsidP="007A205D">
            <w:pPr>
              <w:rPr>
                <w:rFonts w:cstheme="minorHAnsi"/>
                <w:sz w:val="22"/>
              </w:rPr>
            </w:pPr>
            <w:r w:rsidRPr="007A205D">
              <w:rPr>
                <w:rFonts w:cstheme="minorHAnsi"/>
                <w:sz w:val="22"/>
              </w:rPr>
              <w:t>December 2028</w:t>
            </w:r>
          </w:p>
        </w:tc>
      </w:tr>
    </w:tbl>
    <w:p w:rsidR="00DC0081" w:rsidRPr="007A205D" w:rsidRDefault="00DC0081" w:rsidP="0086267C">
      <w:pPr>
        <w:rPr>
          <w:sz w:val="22"/>
        </w:rPr>
      </w:pPr>
    </w:p>
    <w:sectPr w:rsidR="00DC0081" w:rsidRPr="007A205D" w:rsidSect="00A203F8">
      <w:pgSz w:w="16838" w:h="11906" w:orient="landscape" w:code="9"/>
      <w:pgMar w:top="1814" w:right="1531" w:bottom="680" w:left="2098" w:header="680" w:footer="34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BC4" w:rsidRDefault="00736BC4" w:rsidP="00DC0081">
      <w:r>
        <w:separator/>
      </w:r>
    </w:p>
  </w:endnote>
  <w:endnote w:type="continuationSeparator" w:id="0">
    <w:p w:rsidR="00736BC4" w:rsidRDefault="00736BC4"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9D" w:rsidRDefault="006E6F9D" w:rsidP="00CE2C3B">
    <w:pPr>
      <w:pStyle w:val="Footer"/>
    </w:pPr>
    <w:r>
      <w:rPr>
        <w:noProof/>
        <w:lang w:eastAsia="en-GB"/>
      </w:rPr>
      <w:drawing>
        <wp:anchor distT="0" distB="0" distL="114300" distR="114300" simplePos="0" relativeHeight="251658240" behindDoc="1" locked="1" layoutInCell="1" allowOverlap="1" wp14:anchorId="09FFBE93" wp14:editId="56D4ECD4">
          <wp:simplePos x="0" y="0"/>
          <wp:positionH relativeFrom="page">
            <wp:align>left</wp:align>
          </wp:positionH>
          <wp:positionV relativeFrom="page">
            <wp:align>bottom</wp:align>
          </wp:positionV>
          <wp:extent cx="10675620" cy="910590"/>
          <wp:effectExtent l="0" t="0" r="0" b="3810"/>
          <wp:wrapNone/>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10675620" cy="910590"/>
                  </a:xfrm>
                  <a:prstGeom prst="rect">
                    <a:avLst/>
                  </a:prstGeom>
                </pic:spPr>
              </pic:pic>
            </a:graphicData>
          </a:graphic>
          <wp14:sizeRelH relativeFrom="margin">
            <wp14:pctWidth>0</wp14:pctWidth>
          </wp14:sizeRelH>
          <wp14:sizeRelV relativeFrom="margin">
            <wp14:pctHeight>0</wp14:pctHeight>
          </wp14:sizeRelV>
        </wp:anchor>
      </w:drawing>
    </w:r>
  </w:p>
  <w:p w:rsidR="006E6F9D" w:rsidRPr="00092B54" w:rsidRDefault="006E6F9D"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info@aquaticsgb.com  |  01509 618700</w:t>
    </w:r>
  </w:p>
  <w:p w:rsidR="006E6F9D" w:rsidRDefault="006E6F9D" w:rsidP="004C69DF">
    <w:pPr>
      <w:pStyle w:val="Footer"/>
      <w:tabs>
        <w:tab w:val="clear" w:pos="9026"/>
        <w:tab w:val="left" w:pos="9504"/>
      </w:tabs>
    </w:pPr>
    <w:r>
      <w:t>SportPark, 3 Oakwood Drive, Loughborough, LE11 3QF</w:t>
    </w:r>
    <w:r>
      <w:tab/>
    </w:r>
  </w:p>
  <w:p w:rsidR="006E6F9D" w:rsidRDefault="006E6F9D" w:rsidP="00CE2C3B">
    <w:pPr>
      <w:pStyle w:val="TradingName"/>
    </w:pPr>
  </w:p>
  <w:p w:rsidR="006E6F9D" w:rsidRDefault="006E6F9D"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BC4" w:rsidRDefault="00736BC4" w:rsidP="00DC0081">
      <w:r>
        <w:separator/>
      </w:r>
    </w:p>
  </w:footnote>
  <w:footnote w:type="continuationSeparator" w:id="0">
    <w:p w:rsidR="00736BC4" w:rsidRDefault="00736BC4"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399638"/>
      <w:docPartObj>
        <w:docPartGallery w:val="Page Numbers (Top of Page)"/>
        <w:docPartUnique/>
      </w:docPartObj>
    </w:sdtPr>
    <w:sdtEndPr>
      <w:rPr>
        <w:noProof/>
        <w:sz w:val="16"/>
      </w:rPr>
    </w:sdtEndPr>
    <w:sdtContent>
      <w:p w:rsidR="006E6F9D" w:rsidRPr="00E01D30" w:rsidRDefault="006E6F9D" w:rsidP="00BC3AB0">
        <w:pPr>
          <w:pStyle w:val="Header"/>
          <w:tabs>
            <w:tab w:val="clear" w:pos="9026"/>
            <w:tab w:val="right" w:pos="13183"/>
          </w:tabs>
          <w:ind w:left="-1276"/>
          <w:jc w:val="left"/>
          <w:rPr>
            <w:sz w:val="16"/>
          </w:rPr>
        </w:pPr>
        <w:r>
          <w:rPr>
            <w:noProof/>
          </w:rPr>
          <w:t xml:space="preserve">                </w:t>
        </w:r>
        <w:r>
          <w:rPr>
            <w:noProof/>
          </w:rPr>
          <w:fldChar w:fldCharType="begin"/>
        </w:r>
        <w:r>
          <w:rPr>
            <w:noProof/>
          </w:rPr>
          <w:instrText xml:space="preserve"> PAGE   \* MERGEFORMAT </w:instrText>
        </w:r>
        <w:r>
          <w:rPr>
            <w:noProof/>
          </w:rPr>
          <w:fldChar w:fldCharType="separate"/>
        </w:r>
        <w:r w:rsidR="00AD1739">
          <w:rPr>
            <w:noProof/>
          </w:rPr>
          <w:t>2</w:t>
        </w:r>
        <w:r>
          <w:rPr>
            <w:noProof/>
          </w:rPr>
          <w:fldChar w:fldCharType="end"/>
        </w:r>
        <w:r>
          <w:rPr>
            <w:noProof/>
          </w:rPr>
          <w:t xml:space="preserve">           </w:t>
        </w:r>
        <w:r>
          <w:rPr>
            <w:noProof/>
          </w:rPr>
          <w:tab/>
        </w:r>
        <w:r>
          <w:rPr>
            <w:noProof/>
          </w:rPr>
          <w:tab/>
          <w:t xml:space="preserve">                      </w:t>
        </w:r>
        <w:r>
          <w:rPr>
            <w:noProof/>
            <w:lang w:eastAsia="en-GB"/>
          </w:rPr>
          <w:drawing>
            <wp:inline distT="0" distB="0" distL="0" distR="0">
              <wp:extent cx="2073275" cy="237490"/>
              <wp:effectExtent l="0" t="0" r="3175" b="0"/>
              <wp:docPr id="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2073275" cy="237490"/>
                      </a:xfrm>
                      <a:prstGeom prst="rect">
                        <a:avLst/>
                      </a:prstGeom>
                    </pic:spPr>
                  </pic:pic>
                </a:graphicData>
              </a:graphic>
            </wp:inline>
          </w:drawing>
        </w:r>
      </w:p>
    </w:sdtContent>
  </w:sdt>
  <w:p w:rsidR="006E6F9D" w:rsidRDefault="006E6F9D" w:rsidP="008C1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3078E"/>
    <w:multiLevelType w:val="hybridMultilevel"/>
    <w:tmpl w:val="E54E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745C9"/>
    <w:multiLevelType w:val="hybridMultilevel"/>
    <w:tmpl w:val="F216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546CB2"/>
    <w:multiLevelType w:val="hybridMultilevel"/>
    <w:tmpl w:val="9E629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401E51"/>
    <w:multiLevelType w:val="multilevel"/>
    <w:tmpl w:val="BFD261F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DF"/>
    <w:rsid w:val="00004022"/>
    <w:rsid w:val="00092B54"/>
    <w:rsid w:val="000B52D5"/>
    <w:rsid w:val="001225CE"/>
    <w:rsid w:val="0026062C"/>
    <w:rsid w:val="00267D03"/>
    <w:rsid w:val="00274485"/>
    <w:rsid w:val="00313E7B"/>
    <w:rsid w:val="0039235F"/>
    <w:rsid w:val="004C69DF"/>
    <w:rsid w:val="004F04D1"/>
    <w:rsid w:val="00573DF9"/>
    <w:rsid w:val="005F6BB9"/>
    <w:rsid w:val="006012EE"/>
    <w:rsid w:val="00627E6C"/>
    <w:rsid w:val="00630361"/>
    <w:rsid w:val="00666914"/>
    <w:rsid w:val="006E6F9D"/>
    <w:rsid w:val="00710136"/>
    <w:rsid w:val="00723C47"/>
    <w:rsid w:val="007348E2"/>
    <w:rsid w:val="00736BC4"/>
    <w:rsid w:val="00770554"/>
    <w:rsid w:val="007A205D"/>
    <w:rsid w:val="007B4FE2"/>
    <w:rsid w:val="007D0F6D"/>
    <w:rsid w:val="008002AA"/>
    <w:rsid w:val="008479CE"/>
    <w:rsid w:val="0086267C"/>
    <w:rsid w:val="00885F3D"/>
    <w:rsid w:val="008C1D21"/>
    <w:rsid w:val="009F0B53"/>
    <w:rsid w:val="00A203F8"/>
    <w:rsid w:val="00A44D9A"/>
    <w:rsid w:val="00A835C6"/>
    <w:rsid w:val="00AD1739"/>
    <w:rsid w:val="00B01860"/>
    <w:rsid w:val="00B92434"/>
    <w:rsid w:val="00BC3AB0"/>
    <w:rsid w:val="00CC0D6D"/>
    <w:rsid w:val="00CE2C3B"/>
    <w:rsid w:val="00D02181"/>
    <w:rsid w:val="00DC0081"/>
    <w:rsid w:val="00E01D30"/>
    <w:rsid w:val="00E8389A"/>
    <w:rsid w:val="00EC3741"/>
    <w:rsid w:val="00F062A7"/>
    <w:rsid w:val="00F671B7"/>
    <w:rsid w:val="00F812E1"/>
    <w:rsid w:val="00FA2270"/>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835BCF7B-758F-470E-A39A-A3F33C11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semiHidden/>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iPriority w:val="99"/>
    <w:unhideWhenUsed/>
    <w:rsid w:val="0086267C"/>
    <w:pPr>
      <w:tabs>
        <w:tab w:val="center" w:pos="4513"/>
        <w:tab w:val="right" w:pos="9026"/>
      </w:tabs>
      <w:jc w:val="right"/>
    </w:pPr>
  </w:style>
  <w:style w:type="character" w:customStyle="1" w:styleId="HeaderChar">
    <w:name w:val="Header Char"/>
    <w:basedOn w:val="DefaultParagraphFont"/>
    <w:link w:val="Header"/>
    <w:uiPriority w:val="99"/>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CommentReference">
    <w:name w:val="annotation reference"/>
    <w:basedOn w:val="DefaultParagraphFont"/>
    <w:uiPriority w:val="99"/>
    <w:semiHidden/>
    <w:unhideWhenUsed/>
    <w:rsid w:val="004C69DF"/>
    <w:rPr>
      <w:sz w:val="16"/>
      <w:szCs w:val="16"/>
    </w:rPr>
  </w:style>
  <w:style w:type="paragraph" w:styleId="CommentText">
    <w:name w:val="annotation text"/>
    <w:basedOn w:val="Normal"/>
    <w:link w:val="CommentTextChar"/>
    <w:uiPriority w:val="99"/>
    <w:semiHidden/>
    <w:unhideWhenUsed/>
    <w:rsid w:val="004C69DF"/>
    <w:pPr>
      <w:spacing w:after="160"/>
    </w:pPr>
    <w:rPr>
      <w:color w:val="auto"/>
      <w:sz w:val="20"/>
      <w:szCs w:val="20"/>
      <w14:ligatures w14:val="none"/>
    </w:rPr>
  </w:style>
  <w:style w:type="character" w:customStyle="1" w:styleId="CommentTextChar">
    <w:name w:val="Comment Text Char"/>
    <w:basedOn w:val="DefaultParagraphFont"/>
    <w:link w:val="CommentText"/>
    <w:uiPriority w:val="99"/>
    <w:semiHidden/>
    <w:rsid w:val="004C69DF"/>
    <w:rPr>
      <w:sz w:val="20"/>
      <w:szCs w:val="20"/>
      <w14:ligatures w14:val="none"/>
    </w:rPr>
  </w:style>
  <w:style w:type="paragraph" w:styleId="BalloonText">
    <w:name w:val="Balloon Text"/>
    <w:basedOn w:val="Normal"/>
    <w:link w:val="BalloonTextChar"/>
    <w:uiPriority w:val="99"/>
    <w:semiHidden/>
    <w:unhideWhenUsed/>
    <w:rsid w:val="004C6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DF"/>
    <w:rPr>
      <w:rFonts w:ascii="Segoe UI" w:hAnsi="Segoe UI" w:cs="Segoe UI"/>
      <w:color w:val="00003C" w:themeColor="text2"/>
      <w:sz w:val="18"/>
      <w:szCs w:val="18"/>
    </w:rPr>
  </w:style>
  <w:style w:type="character" w:styleId="Hyperlink">
    <w:name w:val="Hyperlink"/>
    <w:basedOn w:val="DefaultParagraphFont"/>
    <w:uiPriority w:val="99"/>
    <w:unhideWhenUsed/>
    <w:rsid w:val="00BC3AB0"/>
    <w:rPr>
      <w:color w:val="00003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britishswimming.org/about-us/equality-and-diversity/"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dJ\Documents\Custom%20Office%20Templates\AquaticsGB%20Word%20Template.dotm" TargetMode="External"/></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9E5E-EE93-4CAB-B30F-09728429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AquaticsGB Word Template</Template>
  <TotalTime>1699</TotalTime>
  <Pages>15</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Josh Rudd</cp:lastModifiedBy>
  <cp:revision>15</cp:revision>
  <cp:lastPrinted>2024-03-21T13:11:00Z</cp:lastPrinted>
  <dcterms:created xsi:type="dcterms:W3CDTF">2024-03-21T13:01:00Z</dcterms:created>
  <dcterms:modified xsi:type="dcterms:W3CDTF">2024-04-04T14:24:00Z</dcterms:modified>
</cp:coreProperties>
</file>